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8FDBC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b/>
          <w:bCs/>
          <w:sz w:val="36"/>
          <w:szCs w:val="36"/>
        </w:rPr>
        <w:t>四川大学华西第二医院眉山院区</w:t>
      </w:r>
    </w:p>
    <w:p w14:paraId="311476F7">
      <w:pPr>
        <w:jc w:val="center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四川省儿童医院/眉山市妇幼保健院</w:t>
      </w:r>
    </w:p>
    <w:p w14:paraId="2F2033C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2026年职工子女暑假托管服务</w:t>
      </w:r>
    </w:p>
    <w:p w14:paraId="55F67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560" w:firstLineChars="200"/>
        <w:textAlignment w:val="auto"/>
        <w:rPr>
          <w:rFonts w:hint="eastAsia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一、活动基本信息</w:t>
      </w:r>
    </w:p>
    <w:p w14:paraId="2D64D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活动时间：2026年7月27日-8月21日（周一至周五为托管时间，共计20个工作日），服务时段为7:30-18:00（其中12:00—14:30为午餐及午休时间）。</w:t>
      </w:r>
    </w:p>
    <w:p w14:paraId="49F7A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活动地点：待定</w:t>
      </w:r>
    </w:p>
    <w:p w14:paraId="528F0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参与对象：身体健康的华西二院眉山院区职工子女（4-14岁在读学生）</w:t>
      </w:r>
    </w:p>
    <w:p w14:paraId="68D1C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二、服务内容</w:t>
      </w:r>
    </w:p>
    <w:p w14:paraId="1AEF4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以“看护为基、学业为辅、素养为核、安全为本”为宗旨，聚焦儿童兴趣激发、习惯养成与能力提升，实行分龄教学、精准服务。</w:t>
      </w:r>
    </w:p>
    <w:p w14:paraId="6BA7C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560" w:firstLineChars="200"/>
        <w:textAlignment w:val="auto"/>
        <w:rPr>
          <w:rFonts w:hint="default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三、</w:t>
      </w:r>
      <w:r>
        <w:rPr>
          <w:rFonts w:hint="default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分龄课程</w:t>
      </w:r>
      <w:r>
        <w:rPr>
          <w:rFonts w:hint="eastAsia" w:ascii="Arial" w:hAnsi="Arial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设置要求</w:t>
      </w:r>
    </w:p>
    <w:p w14:paraId="71DDA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分为学龄前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  <w:t>阶段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、小学阶段，根据报名情况设置2-4个班。</w:t>
      </w:r>
    </w:p>
    <w:p w14:paraId="664A3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学龄前阶段以启蒙教育与习惯培养为主线，课程设置需包含：语言与表达、认知与思维、艺术与美育、体能与健康、安全与健康启蒙等课程设置；</w:t>
      </w:r>
    </w:p>
    <w:p w14:paraId="5AACB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  <w:t>小学阶段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以学业辅导与素养提升相结合，课程设置需包含：学业辅导、文化科普、艺术与体能、实践与成长等。</w:t>
      </w:r>
    </w:p>
    <w:p w14:paraId="5A52EED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firstLine="560" w:firstLineChars="200"/>
        <w:textAlignment w:val="auto"/>
        <w:rPr>
          <w:rFonts w:hint="eastAsia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/>
          <w:sz w:val="28"/>
          <w:szCs w:val="28"/>
          <w:lang w:val="en-US" w:eastAsia="zh-CN"/>
        </w:rPr>
        <w:t>四、活动报价</w:t>
      </w:r>
    </w:p>
    <w:p w14:paraId="640D0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报价形式：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元/人/期，最终结算费用以实际参与托管的职工子女人数核算。</w:t>
      </w:r>
    </w:p>
    <w:p w14:paraId="16424C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Times New Roman" w:hAnsi="Times New Roman" w:eastAsia="黑体" w:cs="Times New Roman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/>
          <w:kern w:val="2"/>
          <w:sz w:val="28"/>
          <w:szCs w:val="28"/>
          <w:lang w:val="en-US" w:eastAsia="zh-CN" w:bidi="ar-SA"/>
        </w:rPr>
        <w:t>其他要求</w:t>
      </w:r>
    </w:p>
    <w:p w14:paraId="09D8F58D">
      <w:pPr>
        <w:jc w:val="both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场地安全、活动安全责任由服务方全权负责。</w:t>
      </w:r>
    </w:p>
    <w:p w14:paraId="05025F45">
      <w:pPr>
        <w:ind w:firstLine="560" w:firstLineChars="200"/>
        <w:jc w:val="both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备注：本服务报价包含完成本项目所需的全部物料费、场地费、活动组织费、搬运费、保险费等相关费用。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8B32B"/>
    <w:multiLevelType w:val="singleLevel"/>
    <w:tmpl w:val="2118B32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EC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next w:val="1"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2026-06-24T08:19:32Z</dcterms:created>
  <dc:creator>Administrator</dc:creator>
  <cp:lastModifiedBy>白云苍狗</cp:lastModifiedBy>
  <dcterms:modified xsi:type="dcterms:W3CDTF">2026-06-24T08:40:25Z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eyJoZGlkIjoiNTJjM2FlYmNiYTEyNGJiMGYxODlkYzYzNDhkMDE4YjAiLCJ1c2VySWQiOiI1NTIxODk1OTYifQ==</vt:lpwstr>
  </property>
  <property fmtid="{D5CDD505-2E9C-101B-9397-08002B2CF9AE}" pid="4" name="ICV">
    <vt:lpwstr>B9FCBB4D031A4CD1A046310A53D07DC9_12</vt:lpwstr>
  </property>
</Properties>
</file>