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A1F40">
      <w:pPr>
        <w:spacing w:line="360" w:lineRule="auto"/>
        <w:jc w:val="center"/>
        <w:outlineLvl w:val="1"/>
        <w:rPr>
          <w:rFonts w:hint="eastAsia" w:ascii="黑体" w:hAnsi="黑体" w:eastAsia="黑体" w:cs="黑体"/>
          <w:b/>
          <w:bCs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auto"/>
          <w:kern w:val="2"/>
          <w:sz w:val="36"/>
          <w:szCs w:val="36"/>
          <w:highlight w:val="none"/>
          <w:lang w:val="en-US" w:eastAsia="zh-CN" w:bidi="ar-SA"/>
        </w:rPr>
        <w:t>产科及母婴健康管理中心                      妇幼陪护人员需求服务项目</w:t>
      </w:r>
    </w:p>
    <w:p w14:paraId="26F0325F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（一）人员配备</w:t>
      </w:r>
    </w:p>
    <w:p w14:paraId="36B14059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1、人员要求：专职指导教育人员1名；妇幼陪护人员人数与服务对象人数按照1对1、1对2或1对3提供服务。所有人员的住宿及用餐均由公司自行解决。</w:t>
      </w:r>
    </w:p>
    <w:p w14:paraId="7AC1631A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2、公司应保证可上岗人员充足，人员不足情况下及时做好调集及招工培训工作。</w:t>
      </w:r>
    </w:p>
    <w:p w14:paraId="4530E0F6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3、公司应保证所录用人员身体健康，无传染病及传染病原携带者，无残疾，无刑事违法或处分犯罪记录、要求持证上岗的有上岗资格证，持有效期内健康检查合格证。按照《四川省医疗护理员培训工作方案（试行）》有关规定，分批次完成四川省护理员培训，并考核合格，取得合格证书。并将相应证件复印件交科室留存。</w:t>
      </w:r>
    </w:p>
    <w:p w14:paraId="047E4AC2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4、拟派遣的陪护人员要求：性别女，年龄27岁（含）-50岁（含），积极乐观，开朗大方，有爱心，耐心，语言温和，身体健康，母婴护理相关证书（高级母婴护理证书、高级育婴师、高级月嫂证、护理员等相关证书），具备2年及以上工作经历，有母婴护理工作及月子中心工作经验，提供相关证明者优先。吃苦耐劳、责任心强能适应夜班、倒班。</w:t>
      </w:r>
    </w:p>
    <w:p w14:paraId="5E2EFCCF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（二）专职指导管理人员（具有相应的管理工作经验）</w:t>
      </w:r>
    </w:p>
    <w:p w14:paraId="6262DF65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（1）负责安全管理和持续改进工作，并协助医务人员做好服务对象的服务工作。</w:t>
      </w:r>
    </w:p>
    <w:p w14:paraId="5930BF49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（2）负责督促陪护人员认真执行各项规章制度、技术操作规程。</w:t>
      </w:r>
    </w:p>
    <w:p w14:paraId="37E1E5BE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（3）负责督促、检查陪护人员工作质量，发现问题及时解决，把好质量关，并有记录。</w:t>
      </w:r>
    </w:p>
    <w:p w14:paraId="1F1B5183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三、管理</w:t>
      </w:r>
    </w:p>
    <w:p w14:paraId="18ACADE1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医疗机构指定一人为项目联系人，具体负责：</w:t>
      </w:r>
    </w:p>
    <w:p w14:paraId="63AE7A99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1.检查中选工作的护理质量与安全管理和持续改进工作。</w:t>
      </w:r>
    </w:p>
    <w:p w14:paraId="35ECAD3C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2.负责服务对象入院前与公司的交接手续。</w:t>
      </w:r>
    </w:p>
    <w:p w14:paraId="71E69609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3.定期检查公司的培训进程。</w:t>
      </w:r>
    </w:p>
    <w:p w14:paraId="66B52A55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四、特殊要求</w:t>
      </w:r>
    </w:p>
    <w:p w14:paraId="7AB521EE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中选供应商应在合作期内，无条件配合医院母婴同室区VIP房间提供以下服务，具体内容如下：</w:t>
      </w:r>
    </w:p>
    <w:p w14:paraId="6E309190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1、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免费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提供24小时妇幼陪护需求（其中白班不低于1:4陪护比）；</w:t>
      </w:r>
    </w:p>
    <w:p w14:paraId="5F59F1C0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2、病室整理</w:t>
      </w:r>
    </w:p>
    <w:p w14:paraId="185CD082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1）、晨间完成所管病房的整理（包括床单元和病房物品的整理）；</w:t>
      </w:r>
    </w:p>
    <w:p w14:paraId="085181D6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2）、随时保持病房整洁；</w:t>
      </w:r>
    </w:p>
    <w:p w14:paraId="25F010F3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3）、做好床单元的终末消毒处理；</w:t>
      </w:r>
    </w:p>
    <w:p w14:paraId="1F5355D4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3、新生儿照护</w:t>
      </w:r>
    </w:p>
    <w:p w14:paraId="79C7D5EE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1）、为宝宝更换尿不湿、更换衣物等；</w:t>
      </w:r>
    </w:p>
    <w:p w14:paraId="50F70C5F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2）、准备洗澡用物，协助家属推新生儿到沐浴室；</w:t>
      </w:r>
    </w:p>
    <w:p w14:paraId="587454CC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3）、指导和帮助家属进行常规新生儿护理；</w:t>
      </w:r>
    </w:p>
    <w:p w14:paraId="1CC52814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4）、根据情况可对新生儿行抚触和皮肤护理；</w:t>
      </w:r>
    </w:p>
    <w:p w14:paraId="152CA705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5）、必要时帮助喂新生儿口服药。</w:t>
      </w:r>
    </w:p>
    <w:p w14:paraId="65273FD6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4、产妇照护：</w:t>
      </w:r>
    </w:p>
    <w:p w14:paraId="488ABEF7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1）、帮助产妇更换会阴垫，协助进行会阴清洗和皮肤护理；</w:t>
      </w:r>
    </w:p>
    <w:p w14:paraId="1392777D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2）、协助产妇休息；</w:t>
      </w:r>
    </w:p>
    <w:p w14:paraId="63DF4F0B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3）、协助并指导产妇进餐；</w:t>
      </w:r>
    </w:p>
    <w:p w14:paraId="3E7621A5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4）、协助并指导母乳喂养；</w:t>
      </w:r>
    </w:p>
    <w:p w14:paraId="7C76E71F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5）、教会产妇挤奶，并帮助奶涨和母婴分离的产妇挤奶；</w:t>
      </w:r>
    </w:p>
    <w:p w14:paraId="4CF8D334">
      <w:pPr>
        <w:spacing w:line="360" w:lineRule="auto"/>
        <w:jc w:val="lef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6）、必要时帮助产妇服口服药；</w:t>
      </w:r>
    </w:p>
    <w:p w14:paraId="2D1FB7F5">
      <w:pP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7）、教会家属新生儿的基本护理，与产妇沟通交流保证产妇心情愉快。</w:t>
      </w:r>
    </w:p>
    <w:p w14:paraId="3CF06D11">
      <w:pP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五、价格</w:t>
      </w:r>
    </w:p>
    <w:tbl>
      <w:tblPr>
        <w:tblStyle w:val="2"/>
        <w:tblW w:w="8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1283"/>
        <w:gridCol w:w="935"/>
        <w:gridCol w:w="1613"/>
        <w:gridCol w:w="1161"/>
        <w:gridCol w:w="2368"/>
      </w:tblGrid>
      <w:tr w14:paraId="0E996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1317" w:type="dxa"/>
            <w:noWrap w:val="0"/>
            <w:vAlign w:val="center"/>
          </w:tcPr>
          <w:p w14:paraId="2A20E2B4">
            <w:pPr>
              <w:pStyle w:val="4"/>
              <w:jc w:val="center"/>
              <w:rPr>
                <w:rFonts w:cs="宋体"/>
                <w:b/>
                <w:bCs/>
                <w:sz w:val="28"/>
                <w:szCs w:val="28"/>
                <w:lang w:val="zh-CN"/>
              </w:rPr>
            </w:pPr>
            <w:r>
              <w:rPr>
                <w:rFonts w:hint="eastAsia" w:hAnsi="宋体" w:cs="宋体"/>
                <w:b/>
                <w:bCs/>
                <w:sz w:val="28"/>
                <w:szCs w:val="28"/>
                <w:lang w:val="zh-CN"/>
              </w:rPr>
              <w:t>服务项目</w:t>
            </w:r>
          </w:p>
        </w:tc>
        <w:tc>
          <w:tcPr>
            <w:tcW w:w="1283" w:type="dxa"/>
            <w:noWrap w:val="0"/>
            <w:vAlign w:val="center"/>
          </w:tcPr>
          <w:p w14:paraId="6BB9415A">
            <w:pPr>
              <w:pStyle w:val="4"/>
              <w:jc w:val="center"/>
              <w:rPr>
                <w:rFonts w:cs="宋体"/>
                <w:b/>
                <w:bCs/>
                <w:sz w:val="28"/>
                <w:szCs w:val="28"/>
                <w:lang w:val="zh-CN"/>
              </w:rPr>
            </w:pPr>
            <w:r>
              <w:rPr>
                <w:rFonts w:hint="eastAsia" w:hAnsi="宋体" w:cs="宋体"/>
                <w:b/>
                <w:bCs/>
                <w:sz w:val="28"/>
                <w:szCs w:val="28"/>
                <w:lang w:val="zh-CN"/>
              </w:rPr>
              <w:t>服务时限</w:t>
            </w:r>
          </w:p>
        </w:tc>
        <w:tc>
          <w:tcPr>
            <w:tcW w:w="935" w:type="dxa"/>
            <w:noWrap w:val="0"/>
            <w:vAlign w:val="center"/>
          </w:tcPr>
          <w:p w14:paraId="158A3568">
            <w:pPr>
              <w:pStyle w:val="4"/>
              <w:jc w:val="center"/>
              <w:rPr>
                <w:rFonts w:cs="宋体"/>
                <w:b/>
                <w:bCs/>
                <w:sz w:val="28"/>
                <w:szCs w:val="28"/>
                <w:lang w:val="zh-CN"/>
              </w:rPr>
            </w:pPr>
            <w:r>
              <w:rPr>
                <w:rFonts w:hint="eastAsia" w:hAnsi="宋体" w:cs="宋体"/>
                <w:b/>
                <w:bCs/>
                <w:sz w:val="28"/>
                <w:szCs w:val="28"/>
                <w:lang w:val="zh-CN"/>
              </w:rPr>
              <w:t>分类</w:t>
            </w:r>
          </w:p>
        </w:tc>
        <w:tc>
          <w:tcPr>
            <w:tcW w:w="1613" w:type="dxa"/>
            <w:noWrap w:val="0"/>
            <w:vAlign w:val="center"/>
          </w:tcPr>
          <w:p w14:paraId="41D49070">
            <w:pPr>
              <w:pStyle w:val="4"/>
              <w:jc w:val="center"/>
              <w:rPr>
                <w:rFonts w:cs="宋体"/>
                <w:b/>
                <w:bCs/>
                <w:sz w:val="28"/>
                <w:szCs w:val="28"/>
                <w:lang w:val="zh-CN"/>
              </w:rPr>
            </w:pPr>
            <w:r>
              <w:rPr>
                <w:rFonts w:hint="eastAsia" w:hAnsi="宋体" w:cs="宋体"/>
                <w:b/>
                <w:bCs/>
                <w:sz w:val="28"/>
                <w:szCs w:val="28"/>
                <w:lang w:val="zh-CN"/>
              </w:rPr>
              <w:t>最高限价</w:t>
            </w:r>
          </w:p>
        </w:tc>
        <w:tc>
          <w:tcPr>
            <w:tcW w:w="1161" w:type="dxa"/>
            <w:noWrap w:val="0"/>
            <w:vAlign w:val="center"/>
          </w:tcPr>
          <w:p w14:paraId="6AFE0615">
            <w:pPr>
              <w:pStyle w:val="4"/>
              <w:jc w:val="center"/>
              <w:rPr>
                <w:rFonts w:hAnsi="宋体" w:cs="宋体"/>
                <w:b/>
                <w:bCs/>
                <w:sz w:val="28"/>
                <w:szCs w:val="28"/>
                <w:lang w:val="zh-CN"/>
              </w:rPr>
            </w:pPr>
            <w:r>
              <w:rPr>
                <w:rFonts w:hint="eastAsia" w:hAnsi="宋体" w:cs="宋体"/>
                <w:b/>
                <w:bCs/>
                <w:sz w:val="28"/>
                <w:szCs w:val="28"/>
                <w:lang w:val="zh-CN"/>
              </w:rPr>
              <w:t>报价</w:t>
            </w:r>
          </w:p>
        </w:tc>
        <w:tc>
          <w:tcPr>
            <w:tcW w:w="2368" w:type="dxa"/>
            <w:noWrap w:val="0"/>
            <w:vAlign w:val="center"/>
          </w:tcPr>
          <w:p w14:paraId="252104B3">
            <w:pPr>
              <w:pStyle w:val="4"/>
              <w:jc w:val="center"/>
              <w:rPr>
                <w:rFonts w:cs="宋体"/>
                <w:b/>
                <w:bCs/>
                <w:sz w:val="28"/>
                <w:szCs w:val="28"/>
                <w:lang w:val="zh-CN"/>
              </w:rPr>
            </w:pPr>
            <w:r>
              <w:rPr>
                <w:rFonts w:hint="eastAsia" w:hAnsi="宋体" w:cs="宋体"/>
                <w:b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11214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317" w:type="dxa"/>
            <w:vMerge w:val="restart"/>
            <w:noWrap w:val="0"/>
            <w:vAlign w:val="center"/>
          </w:tcPr>
          <w:p w14:paraId="686DAA88">
            <w:pPr>
              <w:pStyle w:val="4"/>
              <w:spacing w:line="480" w:lineRule="exact"/>
              <w:jc w:val="center"/>
              <w:rPr>
                <w:rFonts w:cs="仿宋_GB2312"/>
                <w:sz w:val="28"/>
                <w:szCs w:val="28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</w:rPr>
              <w:t>妇幼陪护</w:t>
            </w:r>
            <w:r>
              <w:rPr>
                <w:rFonts w:hint="eastAsia" w:hAnsi="宋体" w:cs="仿宋_GB2312"/>
                <w:sz w:val="28"/>
                <w:szCs w:val="28"/>
                <w:lang w:val="zh-CN"/>
              </w:rPr>
              <w:t>服务</w:t>
            </w:r>
          </w:p>
        </w:tc>
        <w:tc>
          <w:tcPr>
            <w:tcW w:w="1283" w:type="dxa"/>
            <w:vMerge w:val="restart"/>
            <w:noWrap w:val="0"/>
            <w:vAlign w:val="center"/>
          </w:tcPr>
          <w:p w14:paraId="33D0DEA5">
            <w:pPr>
              <w:pStyle w:val="4"/>
              <w:spacing w:line="480" w:lineRule="exact"/>
              <w:jc w:val="center"/>
              <w:rPr>
                <w:rFonts w:hAnsi="宋体" w:cs="仿宋_GB2312"/>
                <w:sz w:val="28"/>
                <w:szCs w:val="28"/>
                <w:lang w:val="zh-CN"/>
              </w:rPr>
            </w:pPr>
            <w:r>
              <w:rPr>
                <w:rFonts w:hAnsi="宋体" w:cs="仿宋_GB2312"/>
                <w:sz w:val="28"/>
                <w:szCs w:val="28"/>
                <w:lang w:val="zh-CN"/>
              </w:rPr>
              <w:t>24</w:t>
            </w:r>
            <w:r>
              <w:rPr>
                <w:rFonts w:hint="eastAsia" w:hAnsi="宋体" w:cs="仿宋_GB2312"/>
                <w:sz w:val="28"/>
                <w:szCs w:val="28"/>
                <w:lang w:val="zh-CN"/>
              </w:rPr>
              <w:t>小时</w:t>
            </w:r>
          </w:p>
          <w:p w14:paraId="18E0F3E2">
            <w:pPr>
              <w:pStyle w:val="4"/>
              <w:spacing w:line="480" w:lineRule="exact"/>
              <w:jc w:val="center"/>
              <w:rPr>
                <w:rFonts w:cs="仿宋_GB2312"/>
                <w:sz w:val="28"/>
                <w:szCs w:val="28"/>
                <w:lang w:val="zh-CN"/>
              </w:rPr>
            </w:pPr>
            <w:r>
              <w:rPr>
                <w:rFonts w:hint="eastAsia" w:hAnsi="宋体" w:cs="仿宋_GB2312"/>
                <w:sz w:val="28"/>
                <w:szCs w:val="28"/>
                <w:lang w:val="zh-CN"/>
              </w:rPr>
              <w:t>陪护</w:t>
            </w:r>
          </w:p>
        </w:tc>
        <w:tc>
          <w:tcPr>
            <w:tcW w:w="935" w:type="dxa"/>
            <w:noWrap w:val="0"/>
            <w:vAlign w:val="center"/>
          </w:tcPr>
          <w:p w14:paraId="574FE725">
            <w:pPr>
              <w:pStyle w:val="4"/>
              <w:spacing w:line="480" w:lineRule="exact"/>
              <w:jc w:val="center"/>
              <w:rPr>
                <w:rFonts w:cs="仿宋_GB2312"/>
                <w:sz w:val="28"/>
                <w:szCs w:val="28"/>
              </w:rPr>
            </w:pPr>
            <w:r>
              <w:rPr>
                <w:rFonts w:hint="eastAsia" w:hAnsi="宋体" w:cs="仿宋_GB2312"/>
                <w:sz w:val="28"/>
                <w:szCs w:val="28"/>
              </w:rPr>
              <w:t>1对1</w:t>
            </w:r>
          </w:p>
        </w:tc>
        <w:tc>
          <w:tcPr>
            <w:tcW w:w="1613" w:type="dxa"/>
            <w:noWrap w:val="0"/>
            <w:vAlign w:val="center"/>
          </w:tcPr>
          <w:p w14:paraId="04DE8BE6">
            <w:pPr>
              <w:pStyle w:val="4"/>
              <w:spacing w:line="480" w:lineRule="exact"/>
              <w:jc w:val="center"/>
              <w:rPr>
                <w:rFonts w:cs="仿宋_GB2312"/>
                <w:sz w:val="28"/>
                <w:szCs w:val="28"/>
                <w:lang w:val="zh-CN"/>
              </w:rPr>
            </w:pPr>
            <w:r>
              <w:rPr>
                <w:rFonts w:hint="eastAsia" w:hAnsi="宋体" w:cs="仿宋_GB2312"/>
                <w:sz w:val="28"/>
                <w:szCs w:val="28"/>
                <w:lang w:val="zh-CN"/>
              </w:rPr>
              <w:t>300元</w:t>
            </w:r>
            <w:r>
              <w:rPr>
                <w:rFonts w:hAnsi="宋体" w:cs="仿宋_GB2312"/>
                <w:sz w:val="28"/>
                <w:szCs w:val="28"/>
                <w:lang w:val="zh-CN"/>
              </w:rPr>
              <w:t>/</w:t>
            </w:r>
            <w:r>
              <w:rPr>
                <w:rFonts w:hint="eastAsia" w:hAnsi="宋体" w:cs="仿宋_GB2312"/>
                <w:sz w:val="28"/>
                <w:szCs w:val="28"/>
                <w:lang w:val="zh-CN"/>
              </w:rPr>
              <w:t>天</w:t>
            </w:r>
          </w:p>
        </w:tc>
        <w:tc>
          <w:tcPr>
            <w:tcW w:w="1161" w:type="dxa"/>
            <w:noWrap w:val="0"/>
            <w:vAlign w:val="center"/>
          </w:tcPr>
          <w:p w14:paraId="4E6A0B40">
            <w:pPr>
              <w:pStyle w:val="4"/>
              <w:spacing w:line="480" w:lineRule="exact"/>
              <w:jc w:val="center"/>
              <w:rPr>
                <w:rFonts w:hAnsi="宋体" w:cs="仿宋_GB2312"/>
                <w:sz w:val="28"/>
                <w:szCs w:val="28"/>
                <w:lang w:val="zh-CN"/>
              </w:rPr>
            </w:pPr>
          </w:p>
        </w:tc>
        <w:tc>
          <w:tcPr>
            <w:tcW w:w="2368" w:type="dxa"/>
            <w:vMerge w:val="restart"/>
            <w:noWrap w:val="0"/>
            <w:vAlign w:val="center"/>
          </w:tcPr>
          <w:p w14:paraId="429BCBA0">
            <w:pPr>
              <w:pStyle w:val="4"/>
              <w:spacing w:line="480" w:lineRule="exact"/>
              <w:jc w:val="left"/>
              <w:rPr>
                <w:rFonts w:hAnsi="宋体" w:cs="仿宋_GB2312"/>
                <w:sz w:val="28"/>
                <w:szCs w:val="28"/>
              </w:rPr>
            </w:pPr>
          </w:p>
        </w:tc>
      </w:tr>
      <w:tr w14:paraId="1237B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317" w:type="dxa"/>
            <w:vMerge w:val="continue"/>
            <w:noWrap w:val="0"/>
            <w:vAlign w:val="center"/>
          </w:tcPr>
          <w:p w14:paraId="459501D0">
            <w:pPr>
              <w:pStyle w:val="4"/>
              <w:spacing w:line="480" w:lineRule="exact"/>
              <w:ind w:firstLine="560"/>
              <w:jc w:val="center"/>
              <w:rPr>
                <w:rFonts w:cs="仿宋_GB2312"/>
                <w:sz w:val="28"/>
                <w:szCs w:val="28"/>
                <w:lang w:val="zh-CN"/>
              </w:rPr>
            </w:pPr>
          </w:p>
        </w:tc>
        <w:tc>
          <w:tcPr>
            <w:tcW w:w="1283" w:type="dxa"/>
            <w:vMerge w:val="continue"/>
            <w:noWrap w:val="0"/>
            <w:vAlign w:val="center"/>
          </w:tcPr>
          <w:p w14:paraId="2F7F6BFF">
            <w:pPr>
              <w:pStyle w:val="4"/>
              <w:spacing w:line="480" w:lineRule="exact"/>
              <w:jc w:val="center"/>
              <w:rPr>
                <w:rFonts w:cs="仿宋_GB2312"/>
                <w:sz w:val="28"/>
                <w:szCs w:val="28"/>
                <w:lang w:val="zh-CN"/>
              </w:rPr>
            </w:pPr>
          </w:p>
        </w:tc>
        <w:tc>
          <w:tcPr>
            <w:tcW w:w="935" w:type="dxa"/>
            <w:noWrap w:val="0"/>
            <w:vAlign w:val="center"/>
          </w:tcPr>
          <w:p w14:paraId="1CCC219F">
            <w:pPr>
              <w:pStyle w:val="4"/>
              <w:spacing w:line="480" w:lineRule="exact"/>
              <w:jc w:val="center"/>
              <w:rPr>
                <w:rFonts w:hAnsi="宋体" w:cs="仿宋_GB2312"/>
                <w:sz w:val="28"/>
                <w:szCs w:val="28"/>
                <w:lang w:val="zh-CN"/>
              </w:rPr>
            </w:pPr>
            <w:r>
              <w:rPr>
                <w:rFonts w:hint="eastAsia" w:hAnsi="宋体" w:cs="仿宋_GB2312"/>
                <w:sz w:val="28"/>
                <w:szCs w:val="28"/>
                <w:lang w:val="zh-CN"/>
              </w:rPr>
              <w:t>1对2</w:t>
            </w:r>
          </w:p>
        </w:tc>
        <w:tc>
          <w:tcPr>
            <w:tcW w:w="1613" w:type="dxa"/>
            <w:noWrap w:val="0"/>
            <w:vAlign w:val="center"/>
          </w:tcPr>
          <w:p w14:paraId="162EA17A">
            <w:pPr>
              <w:pStyle w:val="4"/>
              <w:spacing w:line="480" w:lineRule="exact"/>
              <w:jc w:val="center"/>
              <w:rPr>
                <w:rFonts w:hint="eastAsia" w:hAnsi="宋体" w:cs="仿宋_GB2312"/>
                <w:sz w:val="28"/>
                <w:szCs w:val="28"/>
                <w:lang w:val="zh-CN"/>
              </w:rPr>
            </w:pPr>
            <w:r>
              <w:rPr>
                <w:rFonts w:hint="eastAsia" w:hAnsi="宋体" w:cs="仿宋_GB2312"/>
                <w:sz w:val="28"/>
                <w:szCs w:val="28"/>
                <w:lang w:val="zh-CN"/>
              </w:rPr>
              <w:t>150元/天</w:t>
            </w:r>
          </w:p>
        </w:tc>
        <w:tc>
          <w:tcPr>
            <w:tcW w:w="1161" w:type="dxa"/>
            <w:noWrap w:val="0"/>
            <w:vAlign w:val="center"/>
          </w:tcPr>
          <w:p w14:paraId="73EEDD96">
            <w:pPr>
              <w:pStyle w:val="4"/>
              <w:spacing w:line="480" w:lineRule="exact"/>
              <w:jc w:val="center"/>
              <w:rPr>
                <w:rFonts w:hAnsi="宋体" w:cs="仿宋_GB2312"/>
                <w:sz w:val="28"/>
                <w:szCs w:val="28"/>
                <w:lang w:val="zh-CN"/>
              </w:rPr>
            </w:pPr>
          </w:p>
        </w:tc>
        <w:tc>
          <w:tcPr>
            <w:tcW w:w="2368" w:type="dxa"/>
            <w:vMerge w:val="continue"/>
            <w:noWrap w:val="0"/>
            <w:vAlign w:val="center"/>
          </w:tcPr>
          <w:p w14:paraId="376DA141">
            <w:pPr>
              <w:pStyle w:val="4"/>
              <w:spacing w:line="480" w:lineRule="exact"/>
              <w:ind w:firstLine="560"/>
              <w:jc w:val="center"/>
              <w:rPr>
                <w:rFonts w:cs="仿宋_GB2312"/>
                <w:sz w:val="28"/>
                <w:szCs w:val="28"/>
                <w:lang w:val="zh-CN"/>
              </w:rPr>
            </w:pPr>
          </w:p>
        </w:tc>
      </w:tr>
      <w:tr w14:paraId="3F75D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317" w:type="dxa"/>
            <w:vMerge w:val="continue"/>
            <w:noWrap w:val="0"/>
            <w:vAlign w:val="center"/>
          </w:tcPr>
          <w:p w14:paraId="525D470F">
            <w:pPr>
              <w:pStyle w:val="4"/>
              <w:spacing w:line="480" w:lineRule="exact"/>
              <w:ind w:firstLine="560"/>
              <w:jc w:val="center"/>
              <w:rPr>
                <w:rFonts w:cs="仿宋_GB2312"/>
                <w:sz w:val="28"/>
                <w:szCs w:val="28"/>
                <w:lang w:val="zh-CN"/>
              </w:rPr>
            </w:pPr>
          </w:p>
        </w:tc>
        <w:tc>
          <w:tcPr>
            <w:tcW w:w="1283" w:type="dxa"/>
            <w:vMerge w:val="continue"/>
            <w:noWrap w:val="0"/>
            <w:vAlign w:val="center"/>
          </w:tcPr>
          <w:p w14:paraId="01F2150E">
            <w:pPr>
              <w:pStyle w:val="4"/>
              <w:spacing w:line="480" w:lineRule="exact"/>
              <w:jc w:val="center"/>
              <w:rPr>
                <w:rFonts w:cs="仿宋_GB2312"/>
                <w:sz w:val="28"/>
                <w:szCs w:val="28"/>
                <w:lang w:val="zh-CN"/>
              </w:rPr>
            </w:pPr>
          </w:p>
        </w:tc>
        <w:tc>
          <w:tcPr>
            <w:tcW w:w="935" w:type="dxa"/>
            <w:noWrap w:val="0"/>
            <w:vAlign w:val="center"/>
          </w:tcPr>
          <w:p w14:paraId="5196DE4B">
            <w:pPr>
              <w:pStyle w:val="4"/>
              <w:spacing w:line="480" w:lineRule="exact"/>
              <w:jc w:val="center"/>
              <w:rPr>
                <w:rFonts w:cs="仿宋_GB2312"/>
                <w:sz w:val="28"/>
                <w:szCs w:val="28"/>
                <w:lang w:val="zh-CN"/>
              </w:rPr>
            </w:pPr>
            <w:r>
              <w:rPr>
                <w:rFonts w:hAnsi="宋体" w:cs="仿宋_GB2312"/>
                <w:sz w:val="28"/>
                <w:szCs w:val="28"/>
                <w:lang w:val="zh-CN"/>
              </w:rPr>
              <w:t>1</w:t>
            </w:r>
            <w:r>
              <w:rPr>
                <w:rFonts w:hint="eastAsia" w:hAnsi="宋体" w:cs="仿宋_GB2312"/>
                <w:sz w:val="28"/>
                <w:szCs w:val="28"/>
                <w:lang w:val="zh-CN"/>
              </w:rPr>
              <w:t>对3</w:t>
            </w:r>
          </w:p>
        </w:tc>
        <w:tc>
          <w:tcPr>
            <w:tcW w:w="1613" w:type="dxa"/>
            <w:noWrap w:val="0"/>
            <w:vAlign w:val="center"/>
          </w:tcPr>
          <w:p w14:paraId="7F125406">
            <w:pPr>
              <w:pStyle w:val="4"/>
              <w:spacing w:line="480" w:lineRule="exact"/>
              <w:jc w:val="center"/>
              <w:rPr>
                <w:rFonts w:cs="仿宋_GB2312"/>
                <w:sz w:val="28"/>
                <w:szCs w:val="28"/>
                <w:lang w:val="zh-CN"/>
              </w:rPr>
            </w:pPr>
            <w:r>
              <w:rPr>
                <w:rFonts w:hint="eastAsia" w:hAnsi="宋体" w:cs="仿宋_GB2312"/>
                <w:sz w:val="28"/>
                <w:szCs w:val="28"/>
                <w:lang w:val="zh-CN"/>
              </w:rPr>
              <w:t>1</w:t>
            </w:r>
            <w:r>
              <w:rPr>
                <w:rFonts w:hAnsi="宋体" w:cs="仿宋_GB2312"/>
                <w:sz w:val="28"/>
                <w:szCs w:val="28"/>
                <w:lang w:val="zh-CN"/>
              </w:rPr>
              <w:t>0</w:t>
            </w:r>
            <w:r>
              <w:rPr>
                <w:rFonts w:hint="eastAsia" w:hAnsi="宋体" w:cs="仿宋_GB2312"/>
                <w:sz w:val="28"/>
                <w:szCs w:val="28"/>
                <w:lang w:val="zh-CN"/>
              </w:rPr>
              <w:t>0元/天</w:t>
            </w:r>
          </w:p>
        </w:tc>
        <w:tc>
          <w:tcPr>
            <w:tcW w:w="1161" w:type="dxa"/>
            <w:noWrap w:val="0"/>
            <w:vAlign w:val="center"/>
          </w:tcPr>
          <w:p w14:paraId="19BADBCF">
            <w:pPr>
              <w:pStyle w:val="4"/>
              <w:spacing w:line="480" w:lineRule="exact"/>
              <w:jc w:val="center"/>
              <w:rPr>
                <w:rFonts w:hAnsi="宋体" w:cs="仿宋_GB2312"/>
                <w:sz w:val="28"/>
                <w:szCs w:val="28"/>
                <w:lang w:val="zh-CN"/>
              </w:rPr>
            </w:pPr>
          </w:p>
        </w:tc>
        <w:tc>
          <w:tcPr>
            <w:tcW w:w="2368" w:type="dxa"/>
            <w:vMerge w:val="continue"/>
            <w:noWrap w:val="0"/>
            <w:vAlign w:val="center"/>
          </w:tcPr>
          <w:p w14:paraId="2DE09952">
            <w:pPr>
              <w:pStyle w:val="4"/>
              <w:spacing w:line="480" w:lineRule="exact"/>
              <w:ind w:firstLine="560"/>
              <w:jc w:val="center"/>
              <w:rPr>
                <w:rFonts w:cs="仿宋_GB2312"/>
                <w:sz w:val="28"/>
                <w:szCs w:val="28"/>
                <w:lang w:val="zh-CN"/>
              </w:rPr>
            </w:pPr>
          </w:p>
        </w:tc>
      </w:tr>
    </w:tbl>
    <w:p w14:paraId="2905F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乙方需按其在本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合同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履行期间收取的服务费总额的10%的比例向甲方缴纳管理费。</w:t>
      </w:r>
    </w:p>
    <w:p w14:paraId="0243AA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65E32"/>
    <w:rsid w:val="0E060087"/>
    <w:rsid w:val="2FAF1ED5"/>
    <w:rsid w:val="35092088"/>
    <w:rsid w:val="4A285EA4"/>
    <w:rsid w:val="5D1A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2"/>
    <w:qFormat/>
    <w:uiPriority w:val="99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1081</Words>
  <Characters>1099</Characters>
  <Lines>0</Lines>
  <Paragraphs>0</Paragraphs>
  <TotalTime>2</TotalTime>
  <ScaleCrop>false</ScaleCrop>
  <LinksUpToDate>false</LinksUpToDate>
  <CharactersWithSpaces>1099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2026-04-08T08:55:00Z</dcterms:created>
  <dc:creator>msfy</dc:creator>
  <cp:lastModifiedBy>白云苍狗</cp:lastModifiedBy>
  <dcterms:modified xsi:type="dcterms:W3CDTF">2026-04-09T01:12:03Z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eyJoZGlkIjoiNTJjM2FlYmNiYTEyNGJiMGYxODlkYzYzNDhkMDE4YjAiLCJ1c2VySWQiOiI1NTIxODk1OTYifQ==</vt:lpwstr>
  </property>
  <property fmtid="{D5CDD505-2E9C-101B-9397-08002B2CF9AE}" pid="4" name="ICV">
    <vt:lpwstr>148C58B4FA5E4ADCB73A0E53CB5A50FF_13</vt:lpwstr>
  </property>
</Properties>
</file>