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4A1E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eastAsia="宋体"/>
          <w:color w:val="auto"/>
          <w:sz w:val="21"/>
          <w:szCs w:val="24"/>
          <w:highlight w:val="none"/>
          <w:lang w:val="en-US" w:eastAsia="zh-CN"/>
        </w:rPr>
      </w:pPr>
      <w:bookmarkStart w:id="0" w:name="_GoBack"/>
      <w:r>
        <w:rPr>
          <w:rFonts w:hint="eastAsia"/>
          <w:color w:val="auto"/>
          <w:sz w:val="21"/>
          <w:szCs w:val="24"/>
          <w:highlight w:val="none"/>
          <w:lang w:val="en-US" w:eastAsia="zh-CN"/>
        </w:rPr>
        <w:t>2026年华西二院眉山院区精品节目编排指导服务项目需求</w:t>
      </w:r>
    </w:p>
    <w:bookmarkEnd w:id="0"/>
    <w:p w14:paraId="6D79C5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eastAsia="宋体"/>
          <w:color w:val="auto"/>
          <w:sz w:val="21"/>
          <w:szCs w:val="24"/>
          <w:highlight w:val="none"/>
          <w:lang w:val="en-US" w:eastAsia="zh-CN"/>
        </w:rPr>
        <w:t>服务主体：</w:t>
      </w:r>
      <w:r>
        <w:rPr>
          <w:rFonts w:hint="eastAsia" w:eastAsia="宋体"/>
          <w:color w:val="auto"/>
          <w:sz w:val="21"/>
          <w:szCs w:val="24"/>
          <w:highlight w:val="none"/>
          <w:lang w:val="en-US" w:eastAsia="zh-CN"/>
        </w:rPr>
        <w:t>四川省儿童医院（四川省儿童医学中心）；眉山市妇幼保健院。</w:t>
      </w:r>
    </w:p>
    <w:p w14:paraId="641BEF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1"/>
          <w:szCs w:val="24"/>
          <w:highlight w:val="none"/>
          <w:lang w:val="en-US" w:eastAsia="zh-CN"/>
        </w:rPr>
        <w:t>限价</w:t>
      </w:r>
      <w:r>
        <w:rPr>
          <w:rFonts w:hint="eastAsia" w:eastAsia="宋体"/>
          <w:color w:val="auto"/>
          <w:sz w:val="21"/>
          <w:szCs w:val="24"/>
          <w:highlight w:val="none"/>
          <w:lang w:val="en-US" w:eastAsia="zh-CN"/>
        </w:rPr>
        <w:t>：共计5万元。</w:t>
      </w:r>
    </w:p>
    <w:p w14:paraId="5FCEDC20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3.服务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要求：（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）评标时需提供初步方案（包含剧本），节目预期时间5-10分钟。剧本编写要求：根据医院提供的素材编写时长为5-8分钟的情景剧剧本（演出2场，同一剧情）。剧本应将东坡文化与医院文化相结合，编写内容积极向上、内容健康、格调高雅。（2）保证2次演出效果，地点：眉山市东坡区、成都市锦江区，中标人需在2026年1月20日前达到演出效果（两次演出时间不同，以上时间作为参考，最终以采购人通知时间为准）。本项目的报价为包干价格，包含但不限于剧本编写、编排、指导、音频及视频制作、录音、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演出化妆、服装、演员外出便餐、车费、税费等完成本项目所需的所有费用，采购人不再</w:t>
      </w: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支付其他费用。（3）节目保障方案：包含但不限于以下内容：1.根据情景剧剧本需求对所需道具设计与制作。2.演出服装30套内（含30套）确保能使用2次演出。3.音频制作（背景音乐和录音）。4.LED背景视频设计与制作（根据剧本要求，制作动态视频，高清背景等内容），背景原始素材分辨率不低于1080P，背景视频分辨率为4224*1146，三分屏时，中间16：9显示，分辨率为2112*1146，二面等分屏为1056*1146。5.根据演出时间为节点，制定情景剧编排方案、排练细节等。6.中标人须做好2次正式表演现场灯光的调试灯光、视频、音乐播放等相关演出服务，确保现场呈现最佳效果。7.演员化妆服务：2场，30人内（含30人），化妆在两次演出前提前2小时完成。</w:t>
      </w:r>
    </w:p>
    <w:p w14:paraId="7DB823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5EEE0A"/>
    <w:multiLevelType w:val="singleLevel"/>
    <w:tmpl w:val="685EEE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3C4E80"/>
    <w:rsid w:val="7B3C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2025-11-24T09:11:00Z</dcterms:created>
  <dc:creator>洋洁</dc:creator>
  <cp:lastModifiedBy>洋洁</cp:lastModifiedBy>
  <dcterms:modified xsi:type="dcterms:W3CDTF">2025-11-24T09:12:55Z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A91CB8DF9F7F418EB4355600AFE7C168_11</vt:lpwstr>
  </property>
  <property fmtid="{D5CDD505-2E9C-101B-9397-08002B2CF9AE}" pid="4" name="KSOTemplateDocerSaveRecord">
    <vt:lpwstr>eyJoZGlkIjoiYmVjZmJhODkyYjg5NTlhNTY4ODY3ZTQ2YmU0NDc4ZGMiLCJ1c2VySWQiOiI0OTk3MDc5MjIifQ==</vt:lpwstr>
  </property>
</Properties>
</file>