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AE53">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300" w:afterAutospacing="0" w:line="580" w:lineRule="exact"/>
        <w:ind w:right="0" w:rightChars="0"/>
        <w:jc w:val="center"/>
        <w:textAlignment w:val="auto"/>
        <w:rPr>
          <w:rFonts w:hint="eastAsia" w:ascii="仿宋" w:hAnsi="仿宋" w:eastAsia="仿宋" w:cs="仿宋"/>
          <w:b/>
          <w:bCs/>
          <w:i w:val="0"/>
          <w:iCs w:val="0"/>
          <w:caps w:val="0"/>
          <w:color w:val="000000" w:themeColor="text1"/>
          <w:spacing w:val="0"/>
          <w:sz w:val="40"/>
          <w:szCs w:val="40"/>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40"/>
          <w:szCs w:val="40"/>
          <w:lang w:val="en-US" w:eastAsia="zh-CN"/>
          <w14:textFill>
            <w14:solidFill>
              <w14:schemeClr w14:val="tx1"/>
            </w14:solidFill>
          </w14:textFill>
        </w:rPr>
        <w:t>服务内容及要求</w:t>
      </w:r>
    </w:p>
    <w:p w14:paraId="5939505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一）根据《公立医院内部控制管理办法》（国卫财务发〔2020〕31号）、《关于进一步加强公立医院内部控制建设的指导意见》（财会〔2023〕31号）、《内部控制评价工作指引（试行）》（国卫办财务函〔2023〕416号）相关规定（如有新文件，以最新文件为准），结合医院内部控制建设实际情况，针对医院单位层面和业务层面内部控制设计、运行情况，进行内部控制风险评估及运行评价工作。</w:t>
      </w:r>
    </w:p>
    <w:p w14:paraId="4D66C2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（二）具体内容（包括但不限于）：</w:t>
      </w:r>
    </w:p>
    <w:p w14:paraId="28E940A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1.包括单位层面和业务层面</w:t>
      </w:r>
    </w:p>
    <w:p w14:paraId="70ABE58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单位层面应完成以下方面工作：内部控制组织建设情况、内部控制机制建设情况、内部控制制度建设情况、内部控制队伍建设情况、内部控制流程建设情况及其它需要关注的管理机制建立健全情况的风险评估及运行评价工作。</w:t>
      </w:r>
    </w:p>
    <w:p w14:paraId="7D93895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业务层面应完成以下方面工作：预算管理、收支管理、政府采购管理、资产管理、建设项目管理、合同管理、医疗业务管理、科研项目和临床试验项目管理、教学管理、互联网诊疗管理、医联体管理以及信息系统管理等领域内部控制体系建立健全情况的风险评估及运行评价工作。</w:t>
      </w:r>
    </w:p>
    <w:p w14:paraId="72839FF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2.通过内部控制风险评估，对内控工作开展过程中可能出现的影响控制目标实现的不确定因素进行风险识别、分析，在规定时间内完成对医院经济活动及相关业务活动存在的风险进行识别、分析，确定相应的风险承受度及风险应对策略，评估结果形成书面报告，并提出完善风险管理的建议。</w:t>
      </w:r>
    </w:p>
    <w:p w14:paraId="1752B9F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3.对医院内部控制建立和实施的有效性进行评价，对存在的问题提出改进建议，出具评价报告。</w:t>
      </w:r>
    </w:p>
    <w:p w14:paraId="59D88E3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4.指导并协助医院对于所发现的问题进行整改。</w:t>
      </w:r>
    </w:p>
    <w:p w14:paraId="5B679A2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0" w:firstLineChars="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（三）服务要求：</w:t>
      </w:r>
    </w:p>
    <w:p w14:paraId="0398DE8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1.拟任本项目的专业技术人员须是公司固定人员（应在响应文件中提供近半年的社保缴纳证明），对每个医院负责现场实施的工作人员至少3人且为中级以上职称。</w:t>
      </w:r>
    </w:p>
    <w:p w14:paraId="1E6EFC1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2.参与本项目工作人员应严守职业道德，遵守工作纪律，并具有相应的工作胜任能力。</w:t>
      </w:r>
    </w:p>
    <w:p w14:paraId="4A8AD9D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3.供应商派驻现场的工作人员须与响应文件中人员名单一致，项目过程中参与人员原则上固定不变，供应商若有特殊情况确需变更的，必须说明原因并经过采购人的同意；若未征求医院同意擅自换人，每换一人采购人有权扣减服务费5%。采购人对各供应商指派的履职差或不能胜任工作的参与人员，有权要求更换，直至合适为止。</w:t>
      </w:r>
    </w:p>
    <w:p w14:paraId="78E929C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4.本项目负责人须为注册会计师且</w:t>
      </w:r>
      <w:r>
        <w:rPr>
          <w:rFonts w:ascii="方正仿宋_GB2312" w:hAnsi="方正仿宋_GB2312" w:eastAsia="方正仿宋_GB2312" w:cs="方正仿宋_GB2312"/>
          <w:i w:val="0"/>
          <w:iCs w:val="0"/>
          <w:caps w:val="0"/>
          <w:color w:val="000000" w:themeColor="text1"/>
          <w:spacing w:val="0"/>
          <w:sz w:val="31"/>
          <w:szCs w:val="31"/>
          <w:shd w:val="clear" w:fill="FFFFFF"/>
          <w14:textFill>
            <w14:solidFill>
              <w14:schemeClr w14:val="tx1"/>
            </w14:solidFill>
          </w14:textFill>
        </w:rPr>
        <w:t>具有同类项目驻场的经验</w:t>
      </w:r>
      <w:r>
        <w:rPr>
          <w:rFonts w:hint="eastAsia" w:ascii="方正仿宋_GB2312" w:hAnsi="方正仿宋_GB2312" w:eastAsia="方正仿宋_GB2312" w:cs="方正仿宋_GB2312"/>
          <w:i w:val="0"/>
          <w:iCs w:val="0"/>
          <w:caps w:val="0"/>
          <w:color w:val="000000" w:themeColor="text1"/>
          <w:spacing w:val="0"/>
          <w:sz w:val="31"/>
          <w:szCs w:val="31"/>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须全程参与工作（应在响应文件中提供证明及承诺函）。</w:t>
      </w:r>
    </w:p>
    <w:p w14:paraId="3D530C7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5.对眉山市妇保院出具内部控制风险评估报告。</w:t>
      </w:r>
    </w:p>
    <w:p w14:paraId="5EDE5C3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280" w:firstLineChars="1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（四）项目要求：</w:t>
      </w:r>
    </w:p>
    <w:p w14:paraId="4CC4EFE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1.正式报告（包含电子版一份，纸质版陆份）。出具的报告应符合财经法律法规要求，报告内容真实、准确、完整，不弄虚作假。项目完成后，按照档案管理规定提交项目档案（包括工作底稿、取证单及证据等）。</w:t>
      </w:r>
    </w:p>
    <w:p w14:paraId="69D293D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2.报告经采购人审核，完全满足采购人需求，有上级要求审核的需要提交主管部门审核通过。</w:t>
      </w:r>
      <w:bookmarkStart w:id="0" w:name="_GoBack"/>
      <w:bookmarkEnd w:id="0"/>
    </w:p>
    <w:p w14:paraId="207750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E0C9D28-D02F-4738-A80F-5D5BF578AEF3}"/>
  </w:font>
  <w:font w:name="仿宋">
    <w:panose1 w:val="02010609060101010101"/>
    <w:charset w:val="86"/>
    <w:family w:val="auto"/>
    <w:pitch w:val="default"/>
    <w:sig w:usb0="800002BF" w:usb1="38CF7CFA" w:usb2="00000016" w:usb3="00000000" w:csb0="00040001" w:csb1="00000000"/>
    <w:embedRegular r:id="rId2" w:fontKey="{FC0EAE33-633F-4500-A669-42953A9F028A}"/>
  </w:font>
  <w:font w:name="方正仿宋_GB2312">
    <w:panose1 w:val="02000000000000000000"/>
    <w:charset w:val="86"/>
    <w:family w:val="auto"/>
    <w:pitch w:val="default"/>
    <w:sig w:usb0="A00002BF" w:usb1="184F6CFA" w:usb2="00000012" w:usb3="00000000" w:csb0="00040001" w:csb1="00000000"/>
    <w:embedRegular r:id="rId3" w:fontKey="{970F9F7F-7787-4D60-B9EE-BAC71A5758E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93ACB"/>
    <w:rsid w:val="38093ACB"/>
    <w:rsid w:val="63351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1132</Words>
  <Characters>1157</Characters>
  <Lines>0</Lines>
  <Paragraphs>0</Paragraphs>
  <TotalTime>3</TotalTime>
  <ScaleCrop>false</ScaleCrop>
  <LinksUpToDate>false</LinksUpToDate>
  <CharactersWithSpaces>1157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2025-08-01T08:10:00Z</dcterms:created>
  <dc:creator>洋洁</dc:creator>
  <cp:lastModifiedBy>洋洁</cp:lastModifiedBy>
  <dcterms:modified xsi:type="dcterms:W3CDTF">2025-08-27T02:22:44Z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15DD80B42D124FD998E5C06245C80FD3_13</vt:lpwstr>
  </property>
  <property fmtid="{D5CDD505-2E9C-101B-9397-08002B2CF9AE}" pid="4" name="KSOTemplateDocerSaveRecord">
    <vt:lpwstr>eyJoZGlkIjoiYmVjZmJhODkyYjg5NTlhNTY4ODY3ZTQ2YmU0NDc4ZGMiLCJ1c2VySWQiOiI0OTk3MDc5MjIifQ==</vt:lpwstr>
  </property>
</Properties>
</file>