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BB0AE53">
      <w:pPr>
        <w:pStyle w:val="2"/>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300" w:afterAutospacing="0" w:line="580" w:lineRule="exact"/>
        <w:ind w:right="0" w:rightChars="0"/>
        <w:jc w:val="center"/>
        <w:textAlignment w:val="auto"/>
        <w:rPr>
          <w:rFonts w:hint="eastAsia" w:ascii="仿宋" w:hAnsi="仿宋" w:eastAsia="仿宋" w:cs="仿宋"/>
          <w:b/>
          <w:bCs/>
          <w:i w:val="0"/>
          <w:iCs w:val="0"/>
          <w:caps w:val="0"/>
          <w:color w:val="000000" w:themeColor="text1"/>
          <w:spacing w:val="0"/>
          <w:sz w:val="40"/>
          <w:szCs w:val="40"/>
          <w:lang w:val="en-US" w:eastAsia="zh-CN"/>
          <w14:textFill>
            <w14:solidFill>
              <w14:schemeClr w14:val="tx1"/>
            </w14:solidFill>
          </w14:textFill>
        </w:rPr>
      </w:pPr>
      <w:bookmarkStart w:id="0" w:name="_GoBack"/>
      <w:r>
        <w:rPr>
          <w:rFonts w:hint="eastAsia" w:ascii="仿宋" w:hAnsi="仿宋" w:eastAsia="仿宋" w:cs="仿宋"/>
          <w:b/>
          <w:bCs/>
          <w:i w:val="0"/>
          <w:iCs w:val="0"/>
          <w:caps w:val="0"/>
          <w:color w:val="000000" w:themeColor="text1"/>
          <w:spacing w:val="0"/>
          <w:sz w:val="40"/>
          <w:szCs w:val="40"/>
          <w:lang w:val="en-US" w:eastAsia="zh-CN"/>
          <w14:textFill>
            <w14:solidFill>
              <w14:schemeClr w14:val="tx1"/>
            </w14:solidFill>
          </w14:textFill>
        </w:rPr>
        <w:t>服务内容及要求</w:t>
      </w:r>
    </w:p>
    <w:bookmarkEnd w:id="0"/>
    <w:p w14:paraId="5939505C">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300" w:afterAutospacing="0" w:line="580" w:lineRule="exact"/>
        <w:ind w:left="0" w:firstLine="560" w:firstLineChars="200"/>
        <w:jc w:val="left"/>
        <w:textAlignment w:val="auto"/>
        <w:rPr>
          <w:rFonts w:hint="eastAsia" w:ascii="仿宋" w:hAnsi="仿宋" w:eastAsia="仿宋" w:cs="仿宋"/>
          <w:i w:val="0"/>
          <w:iCs w:val="0"/>
          <w:caps w:val="0"/>
          <w:color w:val="000000" w:themeColor="text1"/>
          <w:spacing w:val="0"/>
          <w:kern w:val="2"/>
          <w:sz w:val="28"/>
          <w:szCs w:val="28"/>
          <w:lang w:val="en-US" w:eastAsia="zh-CN" w:bidi="ar-SA"/>
          <w14:textFill>
            <w14:solidFill>
              <w14:schemeClr w14:val="tx1"/>
            </w14:solidFill>
          </w14:textFill>
        </w:rPr>
      </w:pPr>
      <w:r>
        <w:rPr>
          <w:rFonts w:hint="eastAsia" w:ascii="仿宋" w:hAnsi="仿宋" w:eastAsia="仿宋" w:cs="仿宋"/>
          <w:i w:val="0"/>
          <w:iCs w:val="0"/>
          <w:caps w:val="0"/>
          <w:color w:val="000000" w:themeColor="text1"/>
          <w:spacing w:val="0"/>
          <w:kern w:val="2"/>
          <w:sz w:val="28"/>
          <w:szCs w:val="28"/>
          <w:lang w:val="en-US" w:eastAsia="zh-CN" w:bidi="ar-SA"/>
          <w14:textFill>
            <w14:solidFill>
              <w14:schemeClr w14:val="tx1"/>
            </w14:solidFill>
          </w14:textFill>
        </w:rPr>
        <w:t>（一）根据《公立医院内部控制管理办法》（国卫财务发〔2020〕31号）、《关于进一步加强公立医院内部控制建设的指导意见》（财会〔2023〕31号）、《内部控制评价工作指引（试行）》（国卫办财务函〔2023〕416号）相关规定（如有新文件，以最新文件为准），结合医院内部控制建设实际情况，针对医院单位层面和业务层面内部控制设计、运行情况，进行内部控制风险评估及运行评价工作。</w:t>
      </w:r>
    </w:p>
    <w:p w14:paraId="4D66C2E2">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300" w:afterAutospacing="0" w:line="580" w:lineRule="exact"/>
        <w:ind w:left="0" w:firstLine="560" w:firstLineChars="200"/>
        <w:jc w:val="left"/>
        <w:textAlignment w:val="auto"/>
        <w:rPr>
          <w:rFonts w:hint="eastAsia" w:ascii="仿宋" w:hAnsi="仿宋" w:eastAsia="仿宋" w:cs="仿宋"/>
          <w:i w:val="0"/>
          <w:iCs w:val="0"/>
          <w:caps w:val="0"/>
          <w:color w:val="000000" w:themeColor="text1"/>
          <w:spacing w:val="0"/>
          <w:kern w:val="2"/>
          <w:sz w:val="28"/>
          <w:szCs w:val="28"/>
          <w:lang w:val="en-US" w:eastAsia="zh-CN" w:bidi="ar-SA"/>
          <w14:textFill>
            <w14:solidFill>
              <w14:schemeClr w14:val="tx1"/>
            </w14:solidFill>
          </w14:textFill>
        </w:rPr>
      </w:pPr>
      <w:r>
        <w:rPr>
          <w:rFonts w:hint="eastAsia" w:ascii="仿宋" w:hAnsi="仿宋" w:eastAsia="仿宋" w:cs="仿宋"/>
          <w:i w:val="0"/>
          <w:iCs w:val="0"/>
          <w:caps w:val="0"/>
          <w:color w:val="000000" w:themeColor="text1"/>
          <w:spacing w:val="0"/>
          <w:kern w:val="2"/>
          <w:sz w:val="28"/>
          <w:szCs w:val="28"/>
          <w:lang w:val="en-US" w:eastAsia="zh-CN" w:bidi="ar-SA"/>
          <w14:textFill>
            <w14:solidFill>
              <w14:schemeClr w14:val="tx1"/>
            </w14:solidFill>
          </w14:textFill>
        </w:rPr>
        <w:t>（二）具体内容（包括但不限于）：</w:t>
      </w:r>
    </w:p>
    <w:p w14:paraId="28E940A7">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300" w:afterAutospacing="0" w:line="580" w:lineRule="exact"/>
        <w:ind w:firstLine="560" w:firstLineChars="200"/>
        <w:jc w:val="left"/>
        <w:textAlignment w:val="auto"/>
        <w:rPr>
          <w:rFonts w:hint="eastAsia" w:ascii="仿宋" w:hAnsi="仿宋" w:eastAsia="仿宋" w:cs="仿宋"/>
          <w:i w:val="0"/>
          <w:iCs w:val="0"/>
          <w:caps w:val="0"/>
          <w:color w:val="000000" w:themeColor="text1"/>
          <w:spacing w:val="0"/>
          <w:kern w:val="2"/>
          <w:sz w:val="28"/>
          <w:szCs w:val="28"/>
          <w:lang w:val="en-US" w:eastAsia="zh-CN" w:bidi="ar-SA"/>
          <w14:textFill>
            <w14:solidFill>
              <w14:schemeClr w14:val="tx1"/>
            </w14:solidFill>
          </w14:textFill>
        </w:rPr>
      </w:pPr>
      <w:r>
        <w:rPr>
          <w:rFonts w:hint="eastAsia" w:ascii="仿宋" w:hAnsi="仿宋" w:eastAsia="仿宋" w:cs="仿宋"/>
          <w:i w:val="0"/>
          <w:iCs w:val="0"/>
          <w:caps w:val="0"/>
          <w:color w:val="000000" w:themeColor="text1"/>
          <w:spacing w:val="0"/>
          <w:kern w:val="2"/>
          <w:sz w:val="28"/>
          <w:szCs w:val="28"/>
          <w:lang w:val="en-US" w:eastAsia="zh-CN" w:bidi="ar-SA"/>
          <w14:textFill>
            <w14:solidFill>
              <w14:schemeClr w14:val="tx1"/>
            </w14:solidFill>
          </w14:textFill>
        </w:rPr>
        <w:t>1.包括单位层面和业务层面</w:t>
      </w:r>
    </w:p>
    <w:p w14:paraId="70ABE585">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300" w:afterAutospacing="0" w:line="580" w:lineRule="exact"/>
        <w:ind w:left="0" w:firstLine="560" w:firstLineChars="200"/>
        <w:jc w:val="left"/>
        <w:textAlignment w:val="auto"/>
        <w:rPr>
          <w:rFonts w:hint="eastAsia" w:ascii="仿宋" w:hAnsi="仿宋" w:eastAsia="仿宋" w:cs="仿宋"/>
          <w:i w:val="0"/>
          <w:iCs w:val="0"/>
          <w:caps w:val="0"/>
          <w:color w:val="000000" w:themeColor="text1"/>
          <w:spacing w:val="0"/>
          <w:kern w:val="2"/>
          <w:sz w:val="28"/>
          <w:szCs w:val="28"/>
          <w:lang w:val="en-US" w:eastAsia="zh-CN" w:bidi="ar-SA"/>
          <w14:textFill>
            <w14:solidFill>
              <w14:schemeClr w14:val="tx1"/>
            </w14:solidFill>
          </w14:textFill>
        </w:rPr>
      </w:pPr>
      <w:r>
        <w:rPr>
          <w:rFonts w:hint="eastAsia" w:ascii="仿宋" w:hAnsi="仿宋" w:eastAsia="仿宋" w:cs="仿宋"/>
          <w:i w:val="0"/>
          <w:iCs w:val="0"/>
          <w:caps w:val="0"/>
          <w:color w:val="000000" w:themeColor="text1"/>
          <w:spacing w:val="0"/>
          <w:kern w:val="2"/>
          <w:sz w:val="28"/>
          <w:szCs w:val="28"/>
          <w:lang w:val="en-US" w:eastAsia="zh-CN" w:bidi="ar-SA"/>
          <w14:textFill>
            <w14:solidFill>
              <w14:schemeClr w14:val="tx1"/>
            </w14:solidFill>
          </w14:textFill>
        </w:rPr>
        <w:t>单位层面应完成以下方面工作：内部控制组织建设情况、内部控制机制建设情况、内部控制制度建设情况、内部控制队伍建设情况、内部控制流程建设情况及其它需要关注的管理机制建立健全情况的风险评估及运行评价工作。</w:t>
      </w:r>
    </w:p>
    <w:p w14:paraId="7D938952">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300" w:afterAutospacing="0" w:line="580" w:lineRule="exact"/>
        <w:ind w:firstLine="560" w:firstLineChars="200"/>
        <w:jc w:val="left"/>
        <w:textAlignment w:val="auto"/>
        <w:rPr>
          <w:rFonts w:hint="eastAsia" w:ascii="仿宋" w:hAnsi="仿宋" w:eastAsia="仿宋" w:cs="仿宋"/>
          <w:i w:val="0"/>
          <w:iCs w:val="0"/>
          <w:caps w:val="0"/>
          <w:color w:val="000000" w:themeColor="text1"/>
          <w:spacing w:val="0"/>
          <w:kern w:val="2"/>
          <w:sz w:val="28"/>
          <w:szCs w:val="28"/>
          <w:lang w:val="en-US" w:eastAsia="zh-CN" w:bidi="ar-SA"/>
          <w14:textFill>
            <w14:solidFill>
              <w14:schemeClr w14:val="tx1"/>
            </w14:solidFill>
          </w14:textFill>
        </w:rPr>
      </w:pPr>
      <w:r>
        <w:rPr>
          <w:rFonts w:hint="eastAsia" w:ascii="仿宋" w:hAnsi="仿宋" w:eastAsia="仿宋" w:cs="仿宋"/>
          <w:i w:val="0"/>
          <w:iCs w:val="0"/>
          <w:caps w:val="0"/>
          <w:color w:val="000000" w:themeColor="text1"/>
          <w:spacing w:val="0"/>
          <w:kern w:val="2"/>
          <w:sz w:val="28"/>
          <w:szCs w:val="28"/>
          <w:lang w:val="en-US" w:eastAsia="zh-CN" w:bidi="ar-SA"/>
          <w14:textFill>
            <w14:solidFill>
              <w14:schemeClr w14:val="tx1"/>
            </w14:solidFill>
          </w14:textFill>
        </w:rPr>
        <w:t>业务层面应完成以下方面工作：预算管理、收支管理、政府采购管理、资产管理、建设项目管理、合同管理、医疗业务管理、科研项目和临床试验项目管理、教学管理、互联网诊疗管理、医联体管理以及信息系统管理等领域内部控制体系建立健全情况的风险评估及运行评价工作。</w:t>
      </w:r>
    </w:p>
    <w:p w14:paraId="72839FF0">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300" w:afterAutospacing="0" w:line="580" w:lineRule="exact"/>
        <w:ind w:firstLine="560" w:firstLineChars="200"/>
        <w:jc w:val="left"/>
        <w:textAlignment w:val="auto"/>
        <w:rPr>
          <w:rFonts w:hint="eastAsia" w:ascii="仿宋" w:hAnsi="仿宋" w:eastAsia="仿宋" w:cs="仿宋"/>
          <w:i w:val="0"/>
          <w:iCs w:val="0"/>
          <w:caps w:val="0"/>
          <w:color w:val="000000" w:themeColor="text1"/>
          <w:spacing w:val="0"/>
          <w:kern w:val="2"/>
          <w:sz w:val="28"/>
          <w:szCs w:val="28"/>
          <w:lang w:val="en-US" w:eastAsia="zh-CN" w:bidi="ar-SA"/>
          <w14:textFill>
            <w14:solidFill>
              <w14:schemeClr w14:val="tx1"/>
            </w14:solidFill>
          </w14:textFill>
        </w:rPr>
      </w:pPr>
      <w:r>
        <w:rPr>
          <w:rFonts w:hint="eastAsia" w:ascii="仿宋" w:hAnsi="仿宋" w:eastAsia="仿宋" w:cs="仿宋"/>
          <w:i w:val="0"/>
          <w:iCs w:val="0"/>
          <w:caps w:val="0"/>
          <w:color w:val="000000" w:themeColor="text1"/>
          <w:spacing w:val="0"/>
          <w:kern w:val="2"/>
          <w:sz w:val="28"/>
          <w:szCs w:val="28"/>
          <w:lang w:val="en-US" w:eastAsia="zh-CN" w:bidi="ar-SA"/>
          <w14:textFill>
            <w14:solidFill>
              <w14:schemeClr w14:val="tx1"/>
            </w14:solidFill>
          </w14:textFill>
        </w:rPr>
        <w:t>2.通过内部控制风险评估，对内控工作开展过程中可能出现的影响控制目标实现的不确定因素进行风险识别、分析，在规定时间内完成对医院经济活动及相关业务活动存在的风险进行识别、分析，确定相应的风险承受度及风险应对策略，评估结果形成书面报告，并提出完善风险管理的建议。</w:t>
      </w:r>
    </w:p>
    <w:p w14:paraId="1752B9FE">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300" w:afterAutospacing="0" w:line="580" w:lineRule="exact"/>
        <w:ind w:left="0" w:firstLine="560" w:firstLineChars="200"/>
        <w:jc w:val="left"/>
        <w:textAlignment w:val="auto"/>
        <w:rPr>
          <w:rFonts w:hint="eastAsia" w:ascii="仿宋" w:hAnsi="仿宋" w:eastAsia="仿宋" w:cs="仿宋"/>
          <w:i w:val="0"/>
          <w:iCs w:val="0"/>
          <w:caps w:val="0"/>
          <w:color w:val="000000" w:themeColor="text1"/>
          <w:spacing w:val="0"/>
          <w:kern w:val="2"/>
          <w:sz w:val="28"/>
          <w:szCs w:val="28"/>
          <w:lang w:val="en-US" w:eastAsia="zh-CN" w:bidi="ar-SA"/>
          <w14:textFill>
            <w14:solidFill>
              <w14:schemeClr w14:val="tx1"/>
            </w14:solidFill>
          </w14:textFill>
        </w:rPr>
      </w:pPr>
      <w:r>
        <w:rPr>
          <w:rFonts w:hint="eastAsia" w:ascii="仿宋" w:hAnsi="仿宋" w:eastAsia="仿宋" w:cs="仿宋"/>
          <w:i w:val="0"/>
          <w:iCs w:val="0"/>
          <w:caps w:val="0"/>
          <w:color w:val="000000" w:themeColor="text1"/>
          <w:spacing w:val="0"/>
          <w:kern w:val="2"/>
          <w:sz w:val="28"/>
          <w:szCs w:val="28"/>
          <w:lang w:val="en-US" w:eastAsia="zh-CN" w:bidi="ar-SA"/>
          <w14:textFill>
            <w14:solidFill>
              <w14:schemeClr w14:val="tx1"/>
            </w14:solidFill>
          </w14:textFill>
        </w:rPr>
        <w:t>3.对医院内部控制建立和实施的有效性进行评价，对存在的问题提出改进建议，出具评价报告。</w:t>
      </w:r>
    </w:p>
    <w:p w14:paraId="59D88E36">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300" w:afterAutospacing="0" w:line="580" w:lineRule="exact"/>
        <w:ind w:left="0" w:firstLine="560" w:firstLineChars="200"/>
        <w:jc w:val="left"/>
        <w:textAlignment w:val="auto"/>
        <w:rPr>
          <w:rFonts w:hint="eastAsia" w:ascii="仿宋" w:hAnsi="仿宋" w:eastAsia="仿宋" w:cs="仿宋"/>
          <w:i w:val="0"/>
          <w:iCs w:val="0"/>
          <w:caps w:val="0"/>
          <w:color w:val="000000" w:themeColor="text1"/>
          <w:spacing w:val="0"/>
          <w:kern w:val="2"/>
          <w:sz w:val="28"/>
          <w:szCs w:val="28"/>
          <w:lang w:val="en-US" w:eastAsia="zh-CN" w:bidi="ar-SA"/>
          <w14:textFill>
            <w14:solidFill>
              <w14:schemeClr w14:val="tx1"/>
            </w14:solidFill>
          </w14:textFill>
        </w:rPr>
      </w:pPr>
      <w:r>
        <w:rPr>
          <w:rFonts w:hint="eastAsia" w:ascii="仿宋" w:hAnsi="仿宋" w:eastAsia="仿宋" w:cs="仿宋"/>
          <w:i w:val="0"/>
          <w:iCs w:val="0"/>
          <w:caps w:val="0"/>
          <w:color w:val="000000" w:themeColor="text1"/>
          <w:spacing w:val="0"/>
          <w:kern w:val="2"/>
          <w:sz w:val="28"/>
          <w:szCs w:val="28"/>
          <w:lang w:val="en-US" w:eastAsia="zh-CN" w:bidi="ar-SA"/>
          <w14:textFill>
            <w14:solidFill>
              <w14:schemeClr w14:val="tx1"/>
            </w14:solidFill>
          </w14:textFill>
        </w:rPr>
        <w:t>4.指导并协助医院对于所发现的问题进行整改。</w:t>
      </w:r>
    </w:p>
    <w:p w14:paraId="5B679A21">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300" w:afterAutospacing="0" w:line="580" w:lineRule="exact"/>
        <w:ind w:left="0" w:firstLine="0" w:firstLineChars="0"/>
        <w:jc w:val="left"/>
        <w:textAlignment w:val="auto"/>
        <w:rPr>
          <w:rFonts w:hint="eastAsia" w:ascii="仿宋" w:hAnsi="仿宋" w:eastAsia="仿宋" w:cs="仿宋"/>
          <w:i w:val="0"/>
          <w:iCs w:val="0"/>
          <w:caps w:val="0"/>
          <w:color w:val="000000" w:themeColor="text1"/>
          <w:spacing w:val="0"/>
          <w:kern w:val="2"/>
          <w:sz w:val="28"/>
          <w:szCs w:val="28"/>
          <w:lang w:val="en-US" w:eastAsia="zh-CN" w:bidi="ar-SA"/>
          <w14:textFill>
            <w14:solidFill>
              <w14:schemeClr w14:val="tx1"/>
            </w14:solidFill>
          </w14:textFill>
        </w:rPr>
      </w:pPr>
      <w:r>
        <w:rPr>
          <w:rFonts w:hint="eastAsia" w:ascii="仿宋" w:hAnsi="仿宋" w:eastAsia="仿宋" w:cs="仿宋"/>
          <w:i w:val="0"/>
          <w:iCs w:val="0"/>
          <w:caps w:val="0"/>
          <w:color w:val="000000" w:themeColor="text1"/>
          <w:spacing w:val="0"/>
          <w:kern w:val="2"/>
          <w:sz w:val="28"/>
          <w:szCs w:val="28"/>
          <w:lang w:val="en-US" w:eastAsia="zh-CN" w:bidi="ar-SA"/>
          <w14:textFill>
            <w14:solidFill>
              <w14:schemeClr w14:val="tx1"/>
            </w14:solidFill>
          </w14:textFill>
        </w:rPr>
        <w:t>（三）服务要求：</w:t>
      </w:r>
    </w:p>
    <w:p w14:paraId="0398DE80">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300" w:afterAutospacing="0" w:line="580" w:lineRule="exact"/>
        <w:ind w:left="0" w:firstLine="560" w:firstLineChars="200"/>
        <w:jc w:val="left"/>
        <w:textAlignment w:val="auto"/>
        <w:rPr>
          <w:rFonts w:hint="eastAsia" w:ascii="仿宋" w:hAnsi="仿宋" w:eastAsia="仿宋" w:cs="仿宋"/>
          <w:i w:val="0"/>
          <w:iCs w:val="0"/>
          <w:caps w:val="0"/>
          <w:color w:val="000000" w:themeColor="text1"/>
          <w:spacing w:val="0"/>
          <w:kern w:val="2"/>
          <w:sz w:val="28"/>
          <w:szCs w:val="28"/>
          <w:lang w:val="en-US" w:eastAsia="zh-CN" w:bidi="ar-SA"/>
          <w14:textFill>
            <w14:solidFill>
              <w14:schemeClr w14:val="tx1"/>
            </w14:solidFill>
          </w14:textFill>
        </w:rPr>
      </w:pPr>
      <w:r>
        <w:rPr>
          <w:rFonts w:hint="eastAsia" w:ascii="仿宋" w:hAnsi="仿宋" w:eastAsia="仿宋" w:cs="仿宋"/>
          <w:i w:val="0"/>
          <w:iCs w:val="0"/>
          <w:caps w:val="0"/>
          <w:color w:val="000000" w:themeColor="text1"/>
          <w:spacing w:val="0"/>
          <w:kern w:val="2"/>
          <w:sz w:val="28"/>
          <w:szCs w:val="28"/>
          <w:lang w:val="en-US" w:eastAsia="zh-CN" w:bidi="ar-SA"/>
          <w14:textFill>
            <w14:solidFill>
              <w14:schemeClr w14:val="tx1"/>
            </w14:solidFill>
          </w14:textFill>
        </w:rPr>
        <w:t>1.拟任本项目的专业技术人员须是公司固定人员（应在响应文件中提供近半年的社保缴纳证明），对每个医院负责现场实施的工作人员至少3人且为中级以上职称。</w:t>
      </w:r>
    </w:p>
    <w:p w14:paraId="1E6EFC17">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300" w:afterAutospacing="0" w:line="580" w:lineRule="exact"/>
        <w:ind w:left="0" w:firstLine="560" w:firstLineChars="200"/>
        <w:jc w:val="left"/>
        <w:textAlignment w:val="auto"/>
        <w:rPr>
          <w:rFonts w:hint="eastAsia" w:ascii="仿宋" w:hAnsi="仿宋" w:eastAsia="仿宋" w:cs="仿宋"/>
          <w:i w:val="0"/>
          <w:iCs w:val="0"/>
          <w:caps w:val="0"/>
          <w:color w:val="000000" w:themeColor="text1"/>
          <w:spacing w:val="0"/>
          <w:kern w:val="2"/>
          <w:sz w:val="28"/>
          <w:szCs w:val="28"/>
          <w:lang w:val="en-US" w:eastAsia="zh-CN" w:bidi="ar-SA"/>
          <w14:textFill>
            <w14:solidFill>
              <w14:schemeClr w14:val="tx1"/>
            </w14:solidFill>
          </w14:textFill>
        </w:rPr>
      </w:pPr>
      <w:r>
        <w:rPr>
          <w:rFonts w:hint="eastAsia" w:ascii="仿宋" w:hAnsi="仿宋" w:eastAsia="仿宋" w:cs="仿宋"/>
          <w:i w:val="0"/>
          <w:iCs w:val="0"/>
          <w:caps w:val="0"/>
          <w:color w:val="000000" w:themeColor="text1"/>
          <w:spacing w:val="0"/>
          <w:kern w:val="2"/>
          <w:sz w:val="28"/>
          <w:szCs w:val="28"/>
          <w:lang w:val="en-US" w:eastAsia="zh-CN" w:bidi="ar-SA"/>
          <w14:textFill>
            <w14:solidFill>
              <w14:schemeClr w14:val="tx1"/>
            </w14:solidFill>
          </w14:textFill>
        </w:rPr>
        <w:t>2.参与本项目工作人员应严守职业道德，遵守工作纪律，并具有相应的工作胜任能力。</w:t>
      </w:r>
    </w:p>
    <w:p w14:paraId="4A8AD9DA">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300" w:afterAutospacing="0" w:line="580" w:lineRule="exact"/>
        <w:ind w:left="0" w:firstLine="560" w:firstLineChars="200"/>
        <w:jc w:val="left"/>
        <w:textAlignment w:val="auto"/>
        <w:rPr>
          <w:rFonts w:hint="eastAsia" w:ascii="仿宋" w:hAnsi="仿宋" w:eastAsia="仿宋" w:cs="仿宋"/>
          <w:i w:val="0"/>
          <w:iCs w:val="0"/>
          <w:caps w:val="0"/>
          <w:color w:val="000000" w:themeColor="text1"/>
          <w:spacing w:val="0"/>
          <w:kern w:val="2"/>
          <w:sz w:val="28"/>
          <w:szCs w:val="28"/>
          <w:lang w:val="en-US" w:eastAsia="zh-CN" w:bidi="ar-SA"/>
          <w14:textFill>
            <w14:solidFill>
              <w14:schemeClr w14:val="tx1"/>
            </w14:solidFill>
          </w14:textFill>
        </w:rPr>
      </w:pPr>
      <w:r>
        <w:rPr>
          <w:rFonts w:hint="eastAsia" w:ascii="仿宋" w:hAnsi="仿宋" w:eastAsia="仿宋" w:cs="仿宋"/>
          <w:i w:val="0"/>
          <w:iCs w:val="0"/>
          <w:caps w:val="0"/>
          <w:color w:val="000000" w:themeColor="text1"/>
          <w:spacing w:val="0"/>
          <w:kern w:val="2"/>
          <w:sz w:val="28"/>
          <w:szCs w:val="28"/>
          <w:lang w:val="en-US" w:eastAsia="zh-CN" w:bidi="ar-SA"/>
          <w14:textFill>
            <w14:solidFill>
              <w14:schemeClr w14:val="tx1"/>
            </w14:solidFill>
          </w14:textFill>
        </w:rPr>
        <w:t>3.供应商派驻现场的工作人员须与响应文件中人员名单一致，项目过程中参与人员原则上固定不变，供应商若有特殊情况确需变更的，必须说明原因并经过采购人的同意；若未征求医院同意擅自换人，每换一人采购人有权扣减服务费5%。采购人对各供应商指派的履职差或不能胜任工作的参与人员，有权要求更换，直至合适为止。</w:t>
      </w:r>
    </w:p>
    <w:p w14:paraId="78E929CA">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300" w:afterAutospacing="0" w:line="580" w:lineRule="exact"/>
        <w:ind w:left="0" w:firstLine="560" w:firstLineChars="200"/>
        <w:jc w:val="left"/>
        <w:textAlignment w:val="auto"/>
        <w:rPr>
          <w:rFonts w:hint="eastAsia" w:ascii="仿宋" w:hAnsi="仿宋" w:eastAsia="仿宋" w:cs="仿宋"/>
          <w:i w:val="0"/>
          <w:iCs w:val="0"/>
          <w:caps w:val="0"/>
          <w:color w:val="000000" w:themeColor="text1"/>
          <w:spacing w:val="0"/>
          <w:kern w:val="2"/>
          <w:sz w:val="28"/>
          <w:szCs w:val="28"/>
          <w:lang w:val="en-US" w:eastAsia="zh-CN" w:bidi="ar-SA"/>
          <w14:textFill>
            <w14:solidFill>
              <w14:schemeClr w14:val="tx1"/>
            </w14:solidFill>
          </w14:textFill>
        </w:rPr>
      </w:pPr>
      <w:r>
        <w:rPr>
          <w:rFonts w:hint="eastAsia" w:ascii="仿宋" w:hAnsi="仿宋" w:eastAsia="仿宋" w:cs="仿宋"/>
          <w:i w:val="0"/>
          <w:iCs w:val="0"/>
          <w:caps w:val="0"/>
          <w:color w:val="000000" w:themeColor="text1"/>
          <w:spacing w:val="0"/>
          <w:kern w:val="2"/>
          <w:sz w:val="28"/>
          <w:szCs w:val="28"/>
          <w:lang w:val="en-US" w:eastAsia="zh-CN" w:bidi="ar-SA"/>
          <w14:textFill>
            <w14:solidFill>
              <w14:schemeClr w14:val="tx1"/>
            </w14:solidFill>
          </w14:textFill>
        </w:rPr>
        <w:t>4.本项目负责人须为注册会计师且</w:t>
      </w:r>
      <w:r>
        <w:rPr>
          <w:rFonts w:ascii="方正仿宋_GB2312" w:hAnsi="方正仿宋_GB2312" w:eastAsia="方正仿宋_GB2312" w:cs="方正仿宋_GB2312"/>
          <w:i w:val="0"/>
          <w:iCs w:val="0"/>
          <w:caps w:val="0"/>
          <w:color w:val="000000" w:themeColor="text1"/>
          <w:spacing w:val="0"/>
          <w:sz w:val="31"/>
          <w:szCs w:val="31"/>
          <w:shd w:val="clear" w:fill="FFFFFF"/>
          <w14:textFill>
            <w14:solidFill>
              <w14:schemeClr w14:val="tx1"/>
            </w14:solidFill>
          </w14:textFill>
        </w:rPr>
        <w:t>具有同类项目驻场的经验</w:t>
      </w:r>
      <w:r>
        <w:rPr>
          <w:rFonts w:hint="eastAsia" w:ascii="方正仿宋_GB2312" w:hAnsi="方正仿宋_GB2312" w:eastAsia="方正仿宋_GB2312" w:cs="方正仿宋_GB2312"/>
          <w:i w:val="0"/>
          <w:iCs w:val="0"/>
          <w:caps w:val="0"/>
          <w:color w:val="000000" w:themeColor="text1"/>
          <w:spacing w:val="0"/>
          <w:sz w:val="31"/>
          <w:szCs w:val="31"/>
          <w:shd w:val="clear" w:fill="FFFFFF"/>
          <w:lang w:eastAsia="zh-CN"/>
          <w14:textFill>
            <w14:solidFill>
              <w14:schemeClr w14:val="tx1"/>
            </w14:solidFill>
          </w14:textFill>
        </w:rPr>
        <w:t>，</w:t>
      </w:r>
      <w:r>
        <w:rPr>
          <w:rFonts w:hint="eastAsia" w:ascii="仿宋" w:hAnsi="仿宋" w:eastAsia="仿宋" w:cs="仿宋"/>
          <w:i w:val="0"/>
          <w:iCs w:val="0"/>
          <w:caps w:val="0"/>
          <w:color w:val="000000" w:themeColor="text1"/>
          <w:spacing w:val="0"/>
          <w:kern w:val="2"/>
          <w:sz w:val="28"/>
          <w:szCs w:val="28"/>
          <w:lang w:val="en-US" w:eastAsia="zh-CN" w:bidi="ar-SA"/>
          <w14:textFill>
            <w14:solidFill>
              <w14:schemeClr w14:val="tx1"/>
            </w14:solidFill>
          </w14:textFill>
        </w:rPr>
        <w:t>须全程参与工作（应在响应文件中提供证明及承诺函）。</w:t>
      </w:r>
    </w:p>
    <w:p w14:paraId="3D530C76">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300" w:afterAutospacing="0" w:line="580" w:lineRule="exact"/>
        <w:ind w:left="0" w:firstLine="560" w:firstLineChars="200"/>
        <w:jc w:val="left"/>
        <w:textAlignment w:val="auto"/>
        <w:rPr>
          <w:rFonts w:hint="eastAsia" w:ascii="仿宋" w:hAnsi="仿宋" w:eastAsia="仿宋" w:cs="仿宋"/>
          <w:i w:val="0"/>
          <w:iCs w:val="0"/>
          <w:caps w:val="0"/>
          <w:color w:val="000000" w:themeColor="text1"/>
          <w:spacing w:val="0"/>
          <w:kern w:val="2"/>
          <w:sz w:val="28"/>
          <w:szCs w:val="28"/>
          <w:lang w:val="en-US" w:eastAsia="zh-CN" w:bidi="ar-SA"/>
          <w14:textFill>
            <w14:solidFill>
              <w14:schemeClr w14:val="tx1"/>
            </w14:solidFill>
          </w14:textFill>
        </w:rPr>
      </w:pPr>
      <w:r>
        <w:rPr>
          <w:rFonts w:hint="eastAsia" w:ascii="仿宋" w:hAnsi="仿宋" w:eastAsia="仿宋" w:cs="仿宋"/>
          <w:i w:val="0"/>
          <w:iCs w:val="0"/>
          <w:caps w:val="0"/>
          <w:color w:val="000000" w:themeColor="text1"/>
          <w:spacing w:val="0"/>
          <w:kern w:val="2"/>
          <w:sz w:val="28"/>
          <w:szCs w:val="28"/>
          <w:lang w:val="en-US" w:eastAsia="zh-CN" w:bidi="ar-SA"/>
          <w14:textFill>
            <w14:solidFill>
              <w14:schemeClr w14:val="tx1"/>
            </w14:solidFill>
          </w14:textFill>
        </w:rPr>
        <w:t>5.分别对四川省儿童医院出具内部控制风险评估报告、内部控制评价报告，对眉山市妇保院出具内部控制风险评估报告。</w:t>
      </w:r>
    </w:p>
    <w:p w14:paraId="5EDE5C35">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300" w:afterAutospacing="0" w:line="580" w:lineRule="exact"/>
        <w:ind w:left="0" w:firstLine="280" w:firstLineChars="100"/>
        <w:jc w:val="left"/>
        <w:textAlignment w:val="auto"/>
        <w:rPr>
          <w:rFonts w:hint="eastAsia" w:ascii="仿宋" w:hAnsi="仿宋" w:eastAsia="仿宋" w:cs="仿宋"/>
          <w:i w:val="0"/>
          <w:iCs w:val="0"/>
          <w:caps w:val="0"/>
          <w:color w:val="000000" w:themeColor="text1"/>
          <w:spacing w:val="0"/>
          <w:kern w:val="2"/>
          <w:sz w:val="28"/>
          <w:szCs w:val="28"/>
          <w:lang w:val="en-US" w:eastAsia="zh-CN" w:bidi="ar-SA"/>
          <w14:textFill>
            <w14:solidFill>
              <w14:schemeClr w14:val="tx1"/>
            </w14:solidFill>
          </w14:textFill>
        </w:rPr>
      </w:pPr>
      <w:r>
        <w:rPr>
          <w:rFonts w:hint="eastAsia" w:ascii="仿宋" w:hAnsi="仿宋" w:eastAsia="仿宋" w:cs="仿宋"/>
          <w:i w:val="0"/>
          <w:iCs w:val="0"/>
          <w:caps w:val="0"/>
          <w:color w:val="000000" w:themeColor="text1"/>
          <w:spacing w:val="0"/>
          <w:kern w:val="2"/>
          <w:sz w:val="28"/>
          <w:szCs w:val="28"/>
          <w:lang w:val="en-US" w:eastAsia="zh-CN" w:bidi="ar-SA"/>
          <w14:textFill>
            <w14:solidFill>
              <w14:schemeClr w14:val="tx1"/>
            </w14:solidFill>
          </w14:textFill>
        </w:rPr>
        <w:t>（四）项目要求：</w:t>
      </w:r>
    </w:p>
    <w:p w14:paraId="4CC4EFE4">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300" w:afterAutospacing="0" w:line="580" w:lineRule="exact"/>
        <w:ind w:firstLine="560" w:firstLineChars="200"/>
        <w:jc w:val="left"/>
        <w:textAlignment w:val="auto"/>
        <w:rPr>
          <w:rFonts w:hint="eastAsia" w:ascii="仿宋" w:hAnsi="仿宋" w:eastAsia="仿宋" w:cs="仿宋"/>
          <w:i w:val="0"/>
          <w:iCs w:val="0"/>
          <w:caps w:val="0"/>
          <w:color w:val="000000" w:themeColor="text1"/>
          <w:spacing w:val="0"/>
          <w:kern w:val="2"/>
          <w:sz w:val="28"/>
          <w:szCs w:val="28"/>
          <w:lang w:val="en-US" w:eastAsia="zh-CN" w:bidi="ar-SA"/>
          <w14:textFill>
            <w14:solidFill>
              <w14:schemeClr w14:val="tx1"/>
            </w14:solidFill>
          </w14:textFill>
        </w:rPr>
      </w:pPr>
      <w:r>
        <w:rPr>
          <w:rFonts w:hint="eastAsia" w:ascii="仿宋" w:hAnsi="仿宋" w:eastAsia="仿宋" w:cs="仿宋"/>
          <w:i w:val="0"/>
          <w:iCs w:val="0"/>
          <w:caps w:val="0"/>
          <w:color w:val="000000" w:themeColor="text1"/>
          <w:spacing w:val="0"/>
          <w:kern w:val="2"/>
          <w:sz w:val="28"/>
          <w:szCs w:val="28"/>
          <w:lang w:val="en-US" w:eastAsia="zh-CN" w:bidi="ar-SA"/>
          <w14:textFill>
            <w14:solidFill>
              <w14:schemeClr w14:val="tx1"/>
            </w14:solidFill>
          </w14:textFill>
        </w:rPr>
        <w:t>1.正式报告（包含电子版一份，纸质版陆份）。出具的报告应符合财经法律法规要求，报告内容真实、准确、完整，不弄虚作假。项目完成后，按照档案管理规定提交项目档案（包括工作底稿、取证单及证据等）。</w:t>
      </w:r>
    </w:p>
    <w:p w14:paraId="69D293DA">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300" w:afterAutospacing="0" w:line="580" w:lineRule="exact"/>
        <w:ind w:left="0" w:firstLine="560" w:firstLineChars="200"/>
        <w:jc w:val="left"/>
        <w:textAlignment w:val="auto"/>
        <w:rPr>
          <w:rFonts w:hint="eastAsia" w:ascii="仿宋" w:hAnsi="仿宋" w:eastAsia="仿宋" w:cs="仿宋"/>
          <w:i w:val="0"/>
          <w:iCs w:val="0"/>
          <w:caps w:val="0"/>
          <w:color w:val="000000" w:themeColor="text1"/>
          <w:spacing w:val="0"/>
          <w:kern w:val="2"/>
          <w:sz w:val="28"/>
          <w:szCs w:val="28"/>
          <w:lang w:val="en-US" w:eastAsia="zh-CN" w:bidi="ar-SA"/>
          <w14:textFill>
            <w14:solidFill>
              <w14:schemeClr w14:val="tx1"/>
            </w14:solidFill>
          </w14:textFill>
        </w:rPr>
      </w:pPr>
      <w:r>
        <w:rPr>
          <w:rFonts w:hint="eastAsia" w:ascii="仿宋" w:hAnsi="仿宋" w:eastAsia="仿宋" w:cs="仿宋"/>
          <w:i w:val="0"/>
          <w:iCs w:val="0"/>
          <w:caps w:val="0"/>
          <w:color w:val="000000" w:themeColor="text1"/>
          <w:spacing w:val="0"/>
          <w:kern w:val="2"/>
          <w:sz w:val="28"/>
          <w:szCs w:val="28"/>
          <w:lang w:val="en-US" w:eastAsia="zh-CN" w:bidi="ar-SA"/>
          <w14:textFill>
            <w14:solidFill>
              <w14:schemeClr w14:val="tx1"/>
            </w14:solidFill>
          </w14:textFill>
        </w:rPr>
        <w:t>2.报告经采购人审核，完全满足采购人需求，有上级要求审核的需要提交主管部门审核通过。</w:t>
      </w:r>
    </w:p>
    <w:p w14:paraId="207750FB"/>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1" w:fontKey="{26FDCFE0-75E5-4765-BC0C-CE09D28D25B2}"/>
  </w:font>
  <w:font w:name="仿宋">
    <w:panose1 w:val="02010609060101010101"/>
    <w:charset w:val="86"/>
    <w:family w:val="auto"/>
    <w:pitch w:val="default"/>
    <w:sig w:usb0="800002BF" w:usb1="38CF7CFA" w:usb2="00000016" w:usb3="00000000" w:csb0="00040001" w:csb1="00000000"/>
    <w:embedRegular r:id="rId2" w:fontKey="{940DD53F-8EB2-4010-9EEE-635C54430882}"/>
  </w:font>
  <w:font w:name="方正仿宋_GB2312">
    <w:panose1 w:val="02000000000000000000"/>
    <w:charset w:val="86"/>
    <w:family w:val="auto"/>
    <w:pitch w:val="default"/>
    <w:sig w:usb0="A00002BF" w:usb1="184F6CFA" w:usb2="00000012" w:usb3="00000000" w:csb0="00040001" w:csb1="00000000"/>
    <w:embedRegular r:id="rId3" w:fontKey="{D8E67F25-E752-42AE-BF18-FBB4498E668C}"/>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8093ACB"/>
    <w:rsid w:val="38093AC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qFormat/>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0</Words>
  <Characters>0</Characters>
  <Lines>0</Lines>
  <Paragraphs>0</Paragraphs>
  <TotalTime>1</TotalTime>
  <ScaleCrop>false</ScaleCrop>
  <LinksUpToDate>false</LinksUpToDate>
  <CharactersWithSpaces>0</CharactersWithSpaces>
  <Application>WPS Office_12.1.0.22215_F1E327BC-269C-435d-A152-05C5408002CA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2025-08-01T08:10:00Z</dcterms:created>
  <dc:creator>洋洁</dc:creator>
  <cp:lastModifiedBy>洋洁</cp:lastModifiedBy>
  <dcterms:modified xsi:type="dcterms:W3CDTF">2025-08-01T08:11:46Z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2052-12.1.0.22215</vt:lpwstr>
  </property>
  <property fmtid="{D5CDD505-2E9C-101B-9397-08002B2CF9AE}" pid="3" name="ICV">
    <vt:lpwstr>F1BB7F933E274EB79544DAE2648ED382_11</vt:lpwstr>
  </property>
  <property fmtid="{D5CDD505-2E9C-101B-9397-08002B2CF9AE}" pid="4" name="KSOTemplateDocerSaveRecord">
    <vt:lpwstr>eyJoZGlkIjoiYmVjZmJhODkyYjg5NTlhNTY4ODY3ZTQ2YmU0NDc4ZGMiLCJ1c2VySWQiOiI0OTk3MDc5MjIifQ==</vt:lpwstr>
  </property>
</Properties>
</file>