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Arial" w:eastAsia="黑体" w:cs="Arial"/>
          <w:b/>
          <w:sz w:val="36"/>
          <w:szCs w:val="36"/>
        </w:rPr>
      </w:pPr>
    </w:p>
    <w:p>
      <w:pPr>
        <w:spacing w:line="700" w:lineRule="exact"/>
        <w:jc w:val="center"/>
        <w:rPr>
          <w:rFonts w:eastAsia="方正小标宋简体"/>
          <w:sz w:val="44"/>
          <w:szCs w:val="44"/>
        </w:rPr>
      </w:pPr>
      <w:r>
        <w:rPr>
          <w:rFonts w:hint="eastAsia" w:eastAsia="方正小标宋简体"/>
          <w:sz w:val="44"/>
          <w:szCs w:val="44"/>
        </w:rPr>
        <w:t>眉山市妇幼保健院采购文件</w:t>
      </w:r>
    </w:p>
    <w:p>
      <w:pPr>
        <w:spacing w:line="700" w:lineRule="exact"/>
        <w:jc w:val="center"/>
        <w:rPr>
          <w:rFonts w:eastAsia="方正小标宋简体"/>
          <w:sz w:val="44"/>
          <w:szCs w:val="44"/>
        </w:rPr>
      </w:pPr>
    </w:p>
    <w:p>
      <w:pPr>
        <w:spacing w:line="360" w:lineRule="auto"/>
        <w:ind w:left="479" w:leftChars="228" w:firstLine="525" w:firstLineChars="250"/>
        <w:rPr>
          <w:rFonts w:ascii="宋体" w:hAnsi="宋体"/>
          <w:szCs w:val="21"/>
        </w:rPr>
      </w:pPr>
      <w:r>
        <w:rPr>
          <w:rFonts w:hint="eastAsia" w:ascii="宋体" w:hAnsi="宋体"/>
          <w:szCs w:val="21"/>
        </w:rPr>
        <w:t>我院</w:t>
      </w:r>
      <w:r>
        <w:rPr>
          <w:rFonts w:ascii="宋体" w:hAnsi="宋体"/>
          <w:szCs w:val="21"/>
        </w:rPr>
        <w:t>以</w:t>
      </w:r>
      <w:r>
        <w:rPr>
          <w:rFonts w:hint="eastAsia" w:ascii="宋体" w:hAnsi="宋体"/>
          <w:szCs w:val="21"/>
        </w:rPr>
        <w:t>议价</w:t>
      </w:r>
      <w:r>
        <w:rPr>
          <w:rFonts w:ascii="宋体" w:hAnsi="宋体"/>
          <w:szCs w:val="21"/>
        </w:rPr>
        <w:t>采购方式</w:t>
      </w:r>
      <w:r>
        <w:rPr>
          <w:rFonts w:hint="eastAsia" w:ascii="宋体" w:hAnsi="宋体"/>
          <w:szCs w:val="21"/>
        </w:rPr>
        <w:t>进行以</w:t>
      </w:r>
      <w:r>
        <w:rPr>
          <w:rFonts w:ascii="宋体" w:hAnsi="宋体"/>
          <w:szCs w:val="21"/>
        </w:rPr>
        <w:t>下</w:t>
      </w:r>
      <w:r>
        <w:rPr>
          <w:rFonts w:hint="eastAsia" w:ascii="宋体" w:hAnsi="宋体"/>
          <w:szCs w:val="21"/>
        </w:rPr>
        <w:t>项目的</w:t>
      </w:r>
      <w:r>
        <w:rPr>
          <w:rFonts w:hint="eastAsia" w:ascii="宋体" w:hAnsi="宋体"/>
          <w:b/>
          <w:szCs w:val="21"/>
        </w:rPr>
        <w:t>采购</w:t>
      </w:r>
      <w:r>
        <w:rPr>
          <w:rFonts w:ascii="宋体" w:hAnsi="宋体"/>
          <w:szCs w:val="21"/>
        </w:rPr>
        <w:t>，</w:t>
      </w:r>
      <w:r>
        <w:rPr>
          <w:rFonts w:hint="eastAsia" w:ascii="宋体" w:hAnsi="宋体"/>
          <w:szCs w:val="21"/>
        </w:rPr>
        <w:t>欢迎符合相应资格条件的供应商</w:t>
      </w:r>
      <w:r>
        <w:rPr>
          <w:rFonts w:hint="eastAsia" w:ascii="宋体" w:hAnsi="宋体"/>
          <w:color w:val="FF0000"/>
          <w:szCs w:val="21"/>
        </w:rPr>
        <w:t>密封提交</w:t>
      </w:r>
      <w:r>
        <w:rPr>
          <w:rFonts w:hint="eastAsia" w:ascii="宋体" w:hAnsi="宋体"/>
          <w:szCs w:val="21"/>
        </w:rPr>
        <w:t>响应文件。</w:t>
      </w:r>
    </w:p>
    <w:p>
      <w:pPr>
        <w:spacing w:line="580" w:lineRule="exact"/>
        <w:ind w:left="420" w:leftChars="200" w:firstLine="525" w:firstLineChars="250"/>
        <w:rPr>
          <w:rFonts w:ascii="宋体" w:hAnsi="宋体"/>
          <w:b/>
          <w:szCs w:val="21"/>
        </w:rPr>
      </w:pPr>
      <w:r>
        <w:rPr>
          <w:rFonts w:hint="eastAsia" w:ascii="宋体" w:hAnsi="宋体"/>
          <w:szCs w:val="21"/>
        </w:rPr>
        <w:t>项目名称：</w:t>
      </w:r>
      <w:r>
        <w:rPr>
          <w:rFonts w:hint="eastAsia" w:ascii="宋体" w:hAnsi="宋体"/>
          <w:b/>
          <w:szCs w:val="21"/>
        </w:rPr>
        <w:t>2024年医用耗材（第一批）项目</w:t>
      </w:r>
    </w:p>
    <w:p>
      <w:pPr>
        <w:spacing w:line="580" w:lineRule="exact"/>
        <w:ind w:left="420" w:leftChars="200" w:firstLine="525" w:firstLineChars="250"/>
        <w:rPr>
          <w:rFonts w:ascii="宋体" w:hAnsi="宋体"/>
          <w:b/>
          <w:szCs w:val="21"/>
        </w:rPr>
      </w:pPr>
      <w:r>
        <w:rPr>
          <w:rFonts w:hint="eastAsia" w:ascii="宋体" w:hAnsi="宋体"/>
          <w:szCs w:val="21"/>
        </w:rPr>
        <w:t>项目编号：</w:t>
      </w:r>
      <w:r>
        <w:rPr>
          <w:rFonts w:hint="eastAsia" w:ascii="宋体" w:hAnsi="宋体"/>
          <w:b/>
          <w:szCs w:val="21"/>
        </w:rPr>
        <w:t>FYYN2024025</w:t>
      </w:r>
    </w:p>
    <w:p>
      <w:pPr>
        <w:spacing w:line="360" w:lineRule="auto"/>
        <w:ind w:left="479" w:leftChars="228" w:firstLine="525" w:firstLineChars="250"/>
        <w:rPr>
          <w:rFonts w:ascii="宋体" w:hAnsi="宋体"/>
          <w:szCs w:val="21"/>
        </w:rPr>
      </w:pPr>
    </w:p>
    <w:p>
      <w:pPr>
        <w:pStyle w:val="18"/>
        <w:numPr>
          <w:ilvl w:val="0"/>
          <w:numId w:val="2"/>
        </w:numPr>
        <w:spacing w:line="580" w:lineRule="exact"/>
        <w:ind w:firstLineChars="0"/>
        <w:rPr>
          <w:rFonts w:ascii="宋体" w:hAnsi="宋体"/>
          <w:b/>
          <w:sz w:val="28"/>
          <w:szCs w:val="28"/>
        </w:rPr>
      </w:pPr>
      <w:r>
        <w:rPr>
          <w:rFonts w:hint="eastAsia" w:ascii="宋体" w:hAnsi="宋体"/>
          <w:b/>
          <w:sz w:val="28"/>
          <w:szCs w:val="28"/>
        </w:rPr>
        <w:t>项目技术需求</w:t>
      </w:r>
    </w:p>
    <w:p>
      <w:pPr>
        <w:spacing w:line="580" w:lineRule="exact"/>
        <w:ind w:left="930"/>
        <w:rPr>
          <w:rFonts w:ascii="宋体" w:hAnsi="宋体"/>
          <w:b/>
          <w:szCs w:val="21"/>
        </w:rPr>
      </w:pPr>
      <w:r>
        <w:rPr>
          <w:rFonts w:hint="eastAsia" w:ascii="宋体" w:hAnsi="宋体"/>
          <w:b/>
          <w:szCs w:val="21"/>
        </w:rPr>
        <w:t xml:space="preserve"> </w:t>
      </w:r>
    </w:p>
    <w:tbl>
      <w:tblPr>
        <w:tblStyle w:val="11"/>
        <w:tblW w:w="9930" w:type="dxa"/>
        <w:tblInd w:w="103" w:type="dxa"/>
        <w:tblLayout w:type="fixed"/>
        <w:tblCellMar>
          <w:top w:w="0" w:type="dxa"/>
          <w:left w:w="108" w:type="dxa"/>
          <w:bottom w:w="0" w:type="dxa"/>
          <w:right w:w="108" w:type="dxa"/>
        </w:tblCellMar>
      </w:tblPr>
      <w:tblGrid>
        <w:gridCol w:w="1401"/>
        <w:gridCol w:w="1040"/>
        <w:gridCol w:w="7489"/>
      </w:tblGrid>
      <w:tr>
        <w:tblPrEx>
          <w:tblCellMar>
            <w:top w:w="0" w:type="dxa"/>
            <w:left w:w="108" w:type="dxa"/>
            <w:bottom w:w="0" w:type="dxa"/>
            <w:right w:w="108" w:type="dxa"/>
          </w:tblCellMar>
        </w:tblPrEx>
        <w:trPr>
          <w:trHeight w:val="1230" w:hRule="atLeast"/>
        </w:trPr>
        <w:tc>
          <w:tcPr>
            <w:tcW w:w="14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微软雅黑" w:hAnsi="微软雅黑" w:eastAsia="微软雅黑" w:cs="宋体"/>
                <w:b/>
                <w:bCs/>
                <w:kern w:val="0"/>
                <w:sz w:val="22"/>
                <w:szCs w:val="22"/>
              </w:rPr>
            </w:pPr>
            <w:r>
              <w:rPr>
                <w:rFonts w:hint="eastAsia" w:ascii="微软雅黑" w:hAnsi="微软雅黑" w:eastAsia="微软雅黑" w:cs="宋体"/>
                <w:b/>
                <w:bCs/>
                <w:kern w:val="0"/>
                <w:sz w:val="22"/>
                <w:szCs w:val="22"/>
              </w:rPr>
              <w:t xml:space="preserve">序号     </w:t>
            </w:r>
            <w:r>
              <w:rPr>
                <w:rFonts w:hint="eastAsia" w:ascii="微软雅黑" w:hAnsi="微软雅黑" w:eastAsia="微软雅黑" w:cs="宋体"/>
                <w:b/>
                <w:bCs/>
                <w:color w:val="FF0000"/>
                <w:kern w:val="0"/>
                <w:sz w:val="22"/>
                <w:szCs w:val="22"/>
              </w:rPr>
              <w:t xml:space="preserve">（不得改变投标产品对应序号 ）    </w:t>
            </w:r>
          </w:p>
        </w:tc>
        <w:tc>
          <w:tcPr>
            <w:tcW w:w="10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kern w:val="0"/>
                <w:sz w:val="22"/>
                <w:szCs w:val="22"/>
              </w:rPr>
            </w:pPr>
            <w:r>
              <w:rPr>
                <w:rFonts w:hint="eastAsia" w:ascii="微软雅黑" w:hAnsi="微软雅黑" w:eastAsia="微软雅黑" w:cs="宋体"/>
                <w:b/>
                <w:bCs/>
                <w:kern w:val="0"/>
                <w:sz w:val="22"/>
                <w:szCs w:val="22"/>
              </w:rPr>
              <w:t>产品名称</w:t>
            </w:r>
          </w:p>
        </w:tc>
        <w:tc>
          <w:tcPr>
            <w:tcW w:w="748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kern w:val="0"/>
                <w:sz w:val="22"/>
                <w:szCs w:val="22"/>
              </w:rPr>
            </w:pPr>
            <w:r>
              <w:rPr>
                <w:rFonts w:hint="eastAsia" w:ascii="微软雅黑" w:hAnsi="微软雅黑" w:eastAsia="微软雅黑" w:cs="宋体"/>
                <w:b/>
                <w:bCs/>
                <w:kern w:val="0"/>
                <w:sz w:val="22"/>
                <w:szCs w:val="22"/>
              </w:rPr>
              <w:t>技术参数需求</w:t>
            </w:r>
          </w:p>
        </w:tc>
      </w:tr>
      <w:tr>
        <w:tblPrEx>
          <w:tblCellMar>
            <w:top w:w="0" w:type="dxa"/>
            <w:left w:w="108" w:type="dxa"/>
            <w:bottom w:w="0" w:type="dxa"/>
            <w:right w:w="108" w:type="dxa"/>
          </w:tblCellMar>
        </w:tblPrEx>
        <w:trPr>
          <w:trHeight w:val="705" w:hRule="atLeast"/>
        </w:trPr>
        <w:tc>
          <w:tcPr>
            <w:tcW w:w="140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切口保护套</w:t>
            </w:r>
          </w:p>
        </w:tc>
        <w:tc>
          <w:tcPr>
            <w:tcW w:w="748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（1）妇科开腹癌症手术需要；（2）一次性使用、无菌；（3）各规格型号。</w:t>
            </w:r>
          </w:p>
        </w:tc>
      </w:tr>
      <w:tr>
        <w:tblPrEx>
          <w:tblCellMar>
            <w:top w:w="0" w:type="dxa"/>
            <w:left w:w="108" w:type="dxa"/>
            <w:bottom w:w="0" w:type="dxa"/>
            <w:right w:w="108" w:type="dxa"/>
          </w:tblCellMar>
        </w:tblPrEx>
        <w:trPr>
          <w:trHeight w:val="683" w:hRule="atLeast"/>
        </w:trPr>
        <w:tc>
          <w:tcPr>
            <w:tcW w:w="140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腹腔镜胃抓钳</w:t>
            </w:r>
          </w:p>
        </w:tc>
        <w:tc>
          <w:tcPr>
            <w:tcW w:w="748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（1）用途：妇科腔镜手术需要；（2）规格、型号：5*330mm。</w:t>
            </w:r>
          </w:p>
        </w:tc>
      </w:tr>
      <w:tr>
        <w:tblPrEx>
          <w:tblCellMar>
            <w:top w:w="0" w:type="dxa"/>
            <w:left w:w="108" w:type="dxa"/>
            <w:bottom w:w="0" w:type="dxa"/>
            <w:right w:w="108" w:type="dxa"/>
          </w:tblCellMar>
        </w:tblPrEx>
        <w:trPr>
          <w:trHeight w:val="855" w:hRule="atLeast"/>
        </w:trPr>
        <w:tc>
          <w:tcPr>
            <w:tcW w:w="1401" w:type="dxa"/>
            <w:tcBorders>
              <w:top w:val="nil"/>
              <w:left w:val="single" w:color="auto" w:sz="4" w:space="0"/>
              <w:bottom w:val="nil"/>
              <w:right w:val="single" w:color="auto" w:sz="4" w:space="0"/>
            </w:tcBorders>
            <w:shd w:val="clear" w:color="auto" w:fill="auto"/>
            <w:noWrap/>
            <w:vAlign w:val="center"/>
          </w:tcPr>
          <w:p>
            <w:pPr>
              <w:widowControl/>
              <w:jc w:val="center"/>
              <w:rPr>
                <w:rFonts w:ascii="宋体" w:hAnsi="宋体" w:cs="宋体"/>
                <w:color w:val="000000" w:themeColor="text1"/>
                <w:kern w:val="0"/>
                <w:sz w:val="22"/>
                <w:szCs w:val="22"/>
              </w:rPr>
            </w:pPr>
            <w:r>
              <w:rPr>
                <w:rFonts w:hint="eastAsia" w:ascii="宋体" w:hAnsi="宋体" w:cs="宋体"/>
                <w:color w:val="000000" w:themeColor="text1"/>
                <w:kern w:val="0"/>
                <w:sz w:val="22"/>
                <w:szCs w:val="22"/>
              </w:rPr>
              <w:t>3</w:t>
            </w:r>
          </w:p>
        </w:tc>
        <w:tc>
          <w:tcPr>
            <w:tcW w:w="1040" w:type="dxa"/>
            <w:tcBorders>
              <w:top w:val="nil"/>
              <w:left w:val="nil"/>
              <w:bottom w:val="nil"/>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一次性医用皮肤记号笔</w:t>
            </w:r>
          </w:p>
        </w:tc>
        <w:tc>
          <w:tcPr>
            <w:tcW w:w="7489" w:type="dxa"/>
            <w:tcBorders>
              <w:top w:val="nil"/>
              <w:left w:val="nil"/>
              <w:bottom w:val="nil"/>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（1）用途：妇科个别阴式手术需要；（2）一次性使用、无菌；（3）黑色或深蓝色；（4）规格、型号</w:t>
            </w:r>
            <w:r>
              <w:rPr>
                <w:rFonts w:hint="eastAsia" w:ascii="宋体" w:hAnsi="宋体" w:cs="宋体"/>
                <w:color w:val="000000" w:themeColor="text1"/>
                <w:kern w:val="0"/>
                <w:sz w:val="22"/>
                <w:szCs w:val="22"/>
              </w:rPr>
              <w:t>：极细配尺型。</w:t>
            </w:r>
          </w:p>
        </w:tc>
      </w:tr>
      <w:tr>
        <w:tblPrEx>
          <w:tblCellMar>
            <w:top w:w="0" w:type="dxa"/>
            <w:left w:w="108" w:type="dxa"/>
            <w:bottom w:w="0" w:type="dxa"/>
            <w:right w:w="108" w:type="dxa"/>
          </w:tblCellMar>
        </w:tblPrEx>
        <w:trPr>
          <w:trHeight w:val="855" w:hRule="atLeast"/>
        </w:trPr>
        <w:tc>
          <w:tcPr>
            <w:tcW w:w="1401" w:type="dxa"/>
            <w:tcBorders>
              <w:top w:val="nil"/>
              <w:left w:val="single" w:color="auto" w:sz="4" w:space="0"/>
              <w:bottom w:val="nil"/>
              <w:right w:val="single" w:color="auto" w:sz="4" w:space="0"/>
            </w:tcBorders>
            <w:shd w:val="clear" w:color="auto" w:fill="auto"/>
            <w:noWrap/>
            <w:vAlign w:val="center"/>
          </w:tcPr>
          <w:p>
            <w:pPr>
              <w:widowControl/>
              <w:jc w:val="center"/>
              <w:rPr>
                <w:rFonts w:hint="eastAsia" w:ascii="宋体" w:hAnsi="宋体" w:eastAsia="宋体" w:cs="宋体"/>
                <w:color w:val="000000" w:themeColor="text1"/>
                <w:kern w:val="0"/>
                <w:sz w:val="22"/>
                <w:szCs w:val="22"/>
                <w:lang w:val="en-US" w:eastAsia="zh-CN"/>
              </w:rPr>
            </w:pPr>
            <w:r>
              <w:rPr>
                <w:rFonts w:hint="eastAsia" w:ascii="宋体" w:hAnsi="宋体" w:cs="宋体"/>
                <w:color w:val="000000" w:themeColor="text1"/>
                <w:kern w:val="0"/>
                <w:sz w:val="22"/>
                <w:szCs w:val="22"/>
                <w:lang w:val="en-US" w:eastAsia="zh-CN"/>
              </w:rPr>
              <w:t>4</w:t>
            </w:r>
          </w:p>
        </w:tc>
        <w:tc>
          <w:tcPr>
            <w:tcW w:w="1040" w:type="dxa"/>
            <w:tcBorders>
              <w:top w:val="nil"/>
              <w:left w:val="nil"/>
              <w:bottom w:val="nil"/>
              <w:right w:val="single" w:color="auto" w:sz="4" w:space="0"/>
            </w:tcBorders>
            <w:shd w:val="clear" w:color="auto" w:fill="auto"/>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子宫托</w:t>
            </w:r>
          </w:p>
        </w:tc>
        <w:tc>
          <w:tcPr>
            <w:tcW w:w="7489" w:type="dxa"/>
            <w:tcBorders>
              <w:top w:val="nil"/>
              <w:left w:val="nil"/>
              <w:bottom w:val="nil"/>
              <w:right w:val="single" w:color="auto" w:sz="4" w:space="0"/>
            </w:tcBorders>
            <w:shd w:val="clear" w:color="auto" w:fill="auto"/>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用途：子宫托是非手术治疗盆腔脏器脱垂的一线治疗方案，用于治疗盆腔脏器脱垂、尿失禁、宫颈机能不全的患者，一级无法耐受和不愿选择手术的盆腔器官脱垂的病人使用。（2)材质：子宫托与患者阴道接触面采用柔软硅胶材料制作，生物相容性号，无毒性，保障长期使用安全，无致癌及潜在的子代风险。子宫托表面光滑，无毛刺，佩戴时不会损伤患者的阴道表面，耐高温，能保持长久不变形，具有强有力的承托效果。(3)规格、型号：子宫托的型号要求≥4种，必有型号涵盖：环形、环形带膜、环形带结、环形带柄每种型号具备不同的规格，外径范围44-83mm,能满足不同患者的需求。(4)可长期重复使用，可采用低温等离子、环氧乙烷、压力蒸汽灭菌等消毒方法。在正确的消毒处理后子宫托在有效期内不会出现变形及承托力减弱的情况。(5)特殊需求：子宫托单次使用在患者阴道内最长放置时间为30天。(6)消毒有效期≥3年</w:t>
            </w:r>
          </w:p>
        </w:tc>
      </w:tr>
      <w:tr>
        <w:tblPrEx>
          <w:tblCellMar>
            <w:top w:w="0" w:type="dxa"/>
            <w:left w:w="108" w:type="dxa"/>
            <w:bottom w:w="0" w:type="dxa"/>
            <w:right w:w="108" w:type="dxa"/>
          </w:tblCellMar>
        </w:tblPrEx>
        <w:trPr>
          <w:trHeight w:val="855" w:hRule="atLeast"/>
        </w:trPr>
        <w:tc>
          <w:tcPr>
            <w:tcW w:w="1401" w:type="dxa"/>
            <w:tcBorders>
              <w:top w:val="nil"/>
              <w:left w:val="single" w:color="auto" w:sz="4" w:space="0"/>
              <w:bottom w:val="nil"/>
              <w:right w:val="single" w:color="auto" w:sz="4" w:space="0"/>
            </w:tcBorders>
            <w:shd w:val="clear" w:color="auto" w:fill="auto"/>
            <w:noWrap/>
            <w:vAlign w:val="center"/>
          </w:tcPr>
          <w:p>
            <w:pPr>
              <w:widowControl/>
              <w:jc w:val="center"/>
              <w:rPr>
                <w:rFonts w:hint="eastAsia" w:ascii="宋体" w:hAnsi="宋体" w:eastAsia="宋体" w:cs="宋体"/>
                <w:color w:val="000000" w:themeColor="text1"/>
                <w:kern w:val="0"/>
                <w:sz w:val="22"/>
                <w:szCs w:val="22"/>
                <w:lang w:val="en-US" w:eastAsia="zh-CN"/>
              </w:rPr>
            </w:pPr>
            <w:r>
              <w:rPr>
                <w:rFonts w:hint="eastAsia" w:ascii="宋体" w:hAnsi="宋体" w:cs="宋体"/>
                <w:color w:val="000000" w:themeColor="text1"/>
                <w:kern w:val="0"/>
                <w:sz w:val="22"/>
                <w:szCs w:val="22"/>
                <w:lang w:val="en-US" w:eastAsia="zh-CN"/>
              </w:rPr>
              <w:t>5</w:t>
            </w:r>
          </w:p>
        </w:tc>
        <w:tc>
          <w:tcPr>
            <w:tcW w:w="1040" w:type="dxa"/>
            <w:tcBorders>
              <w:top w:val="nil"/>
              <w:left w:val="nil"/>
              <w:bottom w:val="nil"/>
              <w:right w:val="single" w:color="auto" w:sz="4" w:space="0"/>
            </w:tcBorders>
            <w:shd w:val="clear" w:color="auto" w:fill="auto"/>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低温甲醛灭菌包内化学指示卡</w:t>
            </w:r>
          </w:p>
        </w:tc>
        <w:tc>
          <w:tcPr>
            <w:tcW w:w="7489" w:type="dxa"/>
            <w:tcBorders>
              <w:top w:val="nil"/>
              <w:left w:val="nil"/>
              <w:bottom w:val="nil"/>
              <w:right w:val="single" w:color="auto" w:sz="4" w:space="0"/>
            </w:tcBorders>
            <w:shd w:val="clear" w:color="auto" w:fill="auto"/>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（1）适用于低温蒸汽甲醛灭菌时，灭菌效果化学监测； （2）一次性使用；（3）有效期不低于24个月；（4）规</w:t>
            </w:r>
            <w:r>
              <w:rPr>
                <w:rFonts w:hint="eastAsia" w:ascii="宋体" w:hAnsi="宋体" w:cs="宋体"/>
                <w:color w:val="000000" w:themeColor="text1"/>
                <w:kern w:val="0"/>
                <w:sz w:val="22"/>
                <w:szCs w:val="22"/>
              </w:rPr>
              <w:t>格：50-300片/盒。</w:t>
            </w:r>
          </w:p>
        </w:tc>
      </w:tr>
      <w:tr>
        <w:tblPrEx>
          <w:tblCellMar>
            <w:top w:w="0" w:type="dxa"/>
            <w:left w:w="108" w:type="dxa"/>
            <w:bottom w:w="0" w:type="dxa"/>
            <w:right w:w="108" w:type="dxa"/>
          </w:tblCellMar>
        </w:tblPrEx>
        <w:trPr>
          <w:trHeight w:val="855" w:hRule="atLeast"/>
        </w:trPr>
        <w:tc>
          <w:tcPr>
            <w:tcW w:w="1401" w:type="dxa"/>
            <w:tcBorders>
              <w:top w:val="nil"/>
              <w:left w:val="single" w:color="auto" w:sz="4" w:space="0"/>
              <w:bottom w:val="nil"/>
              <w:right w:val="single" w:color="auto" w:sz="4" w:space="0"/>
            </w:tcBorders>
            <w:shd w:val="clear" w:color="auto" w:fill="auto"/>
            <w:noWrap/>
            <w:vAlign w:val="center"/>
          </w:tcPr>
          <w:p>
            <w:pPr>
              <w:widowControl/>
              <w:jc w:val="center"/>
              <w:rPr>
                <w:rFonts w:hint="eastAsia" w:ascii="宋体" w:hAnsi="宋体" w:eastAsia="宋体" w:cs="宋体"/>
                <w:color w:val="000000" w:themeColor="text1"/>
                <w:kern w:val="0"/>
                <w:sz w:val="22"/>
                <w:szCs w:val="22"/>
                <w:lang w:val="en-US" w:eastAsia="zh-CN"/>
              </w:rPr>
            </w:pPr>
            <w:r>
              <w:rPr>
                <w:rFonts w:hint="eastAsia" w:ascii="宋体" w:hAnsi="宋体" w:cs="宋体"/>
                <w:color w:val="000000" w:themeColor="text1"/>
                <w:kern w:val="0"/>
                <w:sz w:val="22"/>
                <w:szCs w:val="22"/>
                <w:lang w:val="en-US" w:eastAsia="zh-CN"/>
              </w:rPr>
              <w:t>6</w:t>
            </w:r>
          </w:p>
        </w:tc>
        <w:tc>
          <w:tcPr>
            <w:tcW w:w="1040" w:type="dxa"/>
            <w:tcBorders>
              <w:top w:val="nil"/>
              <w:left w:val="nil"/>
              <w:bottom w:val="nil"/>
              <w:right w:val="single" w:color="auto" w:sz="4" w:space="0"/>
            </w:tcBorders>
            <w:shd w:val="clear" w:color="auto" w:fill="auto"/>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驱血带</w:t>
            </w:r>
          </w:p>
        </w:tc>
        <w:tc>
          <w:tcPr>
            <w:tcW w:w="7489" w:type="dxa"/>
            <w:tcBorders>
              <w:top w:val="nil"/>
              <w:left w:val="nil"/>
              <w:bottom w:val="nil"/>
              <w:right w:val="single" w:color="auto" w:sz="4" w:space="0"/>
            </w:tcBorders>
            <w:shd w:val="clear" w:color="auto" w:fill="auto"/>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（1）用于制作精密器械清单；（2） TPE材质/合成胶，具有弹性，延伸性，回弹性好，不易变形，柔软贴合；（3） 规格、型号：2000CM*10CM/卷、2000CM*15CM/卷</w:t>
            </w:r>
            <w:r>
              <w:rPr>
                <w:rFonts w:hint="eastAsia" w:ascii="宋体" w:hAnsi="宋体" w:cs="宋体"/>
                <w:color w:val="000000" w:themeColor="text1"/>
                <w:kern w:val="0"/>
                <w:sz w:val="22"/>
                <w:szCs w:val="22"/>
              </w:rPr>
              <w:t>；（4）</w:t>
            </w:r>
            <w:r>
              <w:rPr>
                <w:rFonts w:hint="eastAsia" w:ascii="宋体" w:hAnsi="宋体" w:cs="宋体"/>
                <w:color w:val="000000"/>
                <w:kern w:val="0"/>
                <w:sz w:val="22"/>
                <w:szCs w:val="22"/>
              </w:rPr>
              <w:t>耐酸碱、耐湿热、耐135摄氏度高温；（5）重复使用。</w:t>
            </w:r>
          </w:p>
        </w:tc>
      </w:tr>
      <w:tr>
        <w:tblPrEx>
          <w:tblCellMar>
            <w:top w:w="0" w:type="dxa"/>
            <w:left w:w="108" w:type="dxa"/>
            <w:bottom w:w="0" w:type="dxa"/>
            <w:right w:w="108" w:type="dxa"/>
          </w:tblCellMar>
        </w:tblPrEx>
        <w:trPr>
          <w:trHeight w:val="855" w:hRule="atLeast"/>
        </w:trPr>
        <w:tc>
          <w:tcPr>
            <w:tcW w:w="1401" w:type="dxa"/>
            <w:tcBorders>
              <w:top w:val="nil"/>
              <w:left w:val="single" w:color="auto" w:sz="4" w:space="0"/>
              <w:bottom w:val="nil"/>
              <w:right w:val="single" w:color="auto" w:sz="4" w:space="0"/>
            </w:tcBorders>
            <w:shd w:val="clear" w:color="auto" w:fill="auto"/>
            <w:noWrap/>
            <w:vAlign w:val="center"/>
          </w:tcPr>
          <w:p>
            <w:pPr>
              <w:widowControl/>
              <w:jc w:val="center"/>
              <w:rPr>
                <w:rFonts w:hint="eastAsia" w:ascii="宋体" w:hAnsi="宋体" w:eastAsia="宋体" w:cs="宋体"/>
                <w:color w:val="000000" w:themeColor="text1"/>
                <w:kern w:val="0"/>
                <w:sz w:val="22"/>
                <w:szCs w:val="22"/>
                <w:lang w:val="en-US" w:eastAsia="zh-CN"/>
              </w:rPr>
            </w:pPr>
            <w:r>
              <w:rPr>
                <w:rFonts w:hint="eastAsia" w:ascii="宋体" w:hAnsi="宋体" w:cs="宋体"/>
                <w:color w:val="000000" w:themeColor="text1"/>
                <w:kern w:val="0"/>
                <w:sz w:val="22"/>
                <w:szCs w:val="22"/>
                <w:lang w:val="en-US" w:eastAsia="zh-CN"/>
              </w:rPr>
              <w:t>7</w:t>
            </w:r>
          </w:p>
        </w:tc>
        <w:tc>
          <w:tcPr>
            <w:tcW w:w="1040" w:type="dxa"/>
            <w:tcBorders>
              <w:top w:val="nil"/>
              <w:left w:val="nil"/>
              <w:bottom w:val="nil"/>
              <w:right w:val="single" w:color="auto" w:sz="4" w:space="0"/>
            </w:tcBorders>
            <w:shd w:val="clear" w:color="auto" w:fill="auto"/>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人流橡胶吸引管</w:t>
            </w:r>
          </w:p>
        </w:tc>
        <w:tc>
          <w:tcPr>
            <w:tcW w:w="7489" w:type="dxa"/>
            <w:tcBorders>
              <w:top w:val="nil"/>
              <w:left w:val="nil"/>
              <w:bottom w:val="nil"/>
              <w:right w:val="single" w:color="auto" w:sz="4" w:space="0"/>
            </w:tcBorders>
            <w:shd w:val="clear" w:color="auto" w:fill="auto"/>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（1）用于人流包器械及宫腔镜加包金属吸引管与吸引器连接使用；（2）材质：橡胶软管，有弹性；（3）规格、型号；内直径0.7厘米；（4）耐酸碱、耐湿热、耐135摄氏度高温；（5）重复使用。</w:t>
            </w:r>
          </w:p>
        </w:tc>
      </w:tr>
    </w:tbl>
    <w:p>
      <w:pPr>
        <w:spacing w:line="580" w:lineRule="exact"/>
        <w:ind w:left="930"/>
        <w:rPr>
          <w:rFonts w:ascii="宋体" w:hAnsi="宋体"/>
          <w:b/>
          <w:szCs w:val="21"/>
        </w:rPr>
      </w:pPr>
    </w:p>
    <w:p>
      <w:pPr>
        <w:spacing w:line="580" w:lineRule="exact"/>
        <w:rPr>
          <w:rFonts w:ascii="宋体" w:hAnsi="宋体"/>
          <w:b/>
          <w:sz w:val="28"/>
          <w:szCs w:val="28"/>
        </w:rPr>
      </w:pPr>
      <w:r>
        <w:rPr>
          <w:rFonts w:hint="eastAsia" w:ascii="宋体" w:hAnsi="宋体"/>
          <w:b/>
          <w:sz w:val="28"/>
          <w:szCs w:val="28"/>
        </w:rPr>
        <w:t>二、项目商务需求</w:t>
      </w:r>
    </w:p>
    <w:tbl>
      <w:tblPr>
        <w:tblStyle w:val="11"/>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8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444" w:type="dxa"/>
            <w:vAlign w:val="center"/>
          </w:tcPr>
          <w:p>
            <w:pPr>
              <w:spacing w:line="300" w:lineRule="exact"/>
              <w:jc w:val="center"/>
              <w:rPr>
                <w:rFonts w:ascii="宋体" w:hAnsi="宋体"/>
                <w:b/>
                <w:bCs/>
                <w:szCs w:val="15"/>
              </w:rPr>
            </w:pPr>
            <w:r>
              <w:rPr>
                <w:rFonts w:ascii="宋体" w:hAnsi="宋体"/>
                <w:b/>
                <w:bCs/>
                <w:szCs w:val="15"/>
              </w:rPr>
              <w:t>序号</w:t>
            </w:r>
          </w:p>
        </w:tc>
        <w:tc>
          <w:tcPr>
            <w:tcW w:w="8375" w:type="dxa"/>
            <w:vAlign w:val="center"/>
          </w:tcPr>
          <w:p>
            <w:pPr>
              <w:spacing w:line="300" w:lineRule="exact"/>
              <w:jc w:val="center"/>
              <w:rPr>
                <w:rFonts w:ascii="宋体" w:hAnsi="宋体"/>
                <w:b/>
                <w:bCs/>
                <w:szCs w:val="15"/>
              </w:rPr>
            </w:pPr>
            <w:r>
              <w:rPr>
                <w:rFonts w:ascii="宋体" w:hAnsi="宋体"/>
                <w:b/>
                <w:bCs/>
                <w:szCs w:val="15"/>
              </w:rPr>
              <w:t>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44" w:type="dxa"/>
            <w:vAlign w:val="center"/>
          </w:tcPr>
          <w:p>
            <w:pPr>
              <w:spacing w:line="300" w:lineRule="exact"/>
              <w:jc w:val="center"/>
              <w:rPr>
                <w:rFonts w:ascii="宋体" w:hAnsi="宋体"/>
                <w:szCs w:val="21"/>
              </w:rPr>
            </w:pPr>
            <w:r>
              <w:rPr>
                <w:rFonts w:hint="eastAsia" w:ascii="宋体" w:hAnsi="宋体"/>
                <w:szCs w:val="21"/>
              </w:rPr>
              <w:t>1</w:t>
            </w:r>
          </w:p>
        </w:tc>
        <w:tc>
          <w:tcPr>
            <w:tcW w:w="8375" w:type="dxa"/>
            <w:vAlign w:val="center"/>
          </w:tcPr>
          <w:p>
            <w:pPr>
              <w:rPr>
                <w:rFonts w:ascii="宋体" w:hAnsi="宋体"/>
                <w:sz w:val="22"/>
                <w:szCs w:val="22"/>
              </w:rPr>
            </w:pPr>
            <w:r>
              <w:rPr>
                <w:rFonts w:hint="eastAsia" w:ascii="宋体" w:hAnsi="宋体"/>
                <w:sz w:val="22"/>
                <w:szCs w:val="22"/>
              </w:rPr>
              <w:t>供货期限：3年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4" w:type="dxa"/>
            <w:vAlign w:val="center"/>
          </w:tcPr>
          <w:p>
            <w:pPr>
              <w:spacing w:line="300" w:lineRule="exact"/>
              <w:jc w:val="center"/>
              <w:rPr>
                <w:rFonts w:ascii="宋体" w:hAnsi="宋体"/>
                <w:szCs w:val="21"/>
              </w:rPr>
            </w:pPr>
            <w:r>
              <w:rPr>
                <w:rFonts w:hint="eastAsia" w:ascii="宋体" w:hAnsi="宋体"/>
                <w:szCs w:val="21"/>
              </w:rPr>
              <w:t>2</w:t>
            </w:r>
          </w:p>
        </w:tc>
        <w:tc>
          <w:tcPr>
            <w:tcW w:w="8375" w:type="dxa"/>
            <w:vAlign w:val="center"/>
          </w:tcPr>
          <w:p>
            <w:pPr>
              <w:rPr>
                <w:rFonts w:ascii="宋体" w:hAnsi="宋体"/>
                <w:sz w:val="22"/>
                <w:szCs w:val="22"/>
              </w:rPr>
            </w:pPr>
            <w:r>
              <w:rPr>
                <w:rFonts w:hint="eastAsia" w:ascii="宋体" w:hAnsi="宋体"/>
                <w:sz w:val="22"/>
                <w:szCs w:val="22"/>
              </w:rPr>
              <w:t>交付</w:t>
            </w:r>
            <w:r>
              <w:rPr>
                <w:rFonts w:ascii="宋体" w:hAnsi="宋体"/>
                <w:sz w:val="22"/>
                <w:szCs w:val="22"/>
              </w:rPr>
              <w:t>时间：</w:t>
            </w:r>
            <w:r>
              <w:rPr>
                <w:rFonts w:hint="eastAsia" w:ascii="宋体" w:hAnsi="宋体" w:cs="宋体"/>
                <w:sz w:val="22"/>
                <w:szCs w:val="22"/>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p>
            <w:pPr>
              <w:rPr>
                <w:rFonts w:ascii="宋体" w:hAnsi="宋体"/>
                <w:sz w:val="22"/>
                <w:szCs w:val="22"/>
              </w:rPr>
            </w:pPr>
            <w:r>
              <w:rPr>
                <w:rFonts w:hint="eastAsia" w:ascii="宋体" w:hAnsi="宋体"/>
                <w:sz w:val="22"/>
                <w:szCs w:val="22"/>
              </w:rPr>
              <w:t>交</w:t>
            </w:r>
            <w:r>
              <w:rPr>
                <w:rFonts w:ascii="宋体" w:hAnsi="宋体"/>
                <w:sz w:val="22"/>
                <w:szCs w:val="22"/>
              </w:rPr>
              <w:t>付地点：</w:t>
            </w:r>
            <w:r>
              <w:rPr>
                <w:rFonts w:hint="eastAsia" w:ascii="宋体" w:hAnsi="宋体"/>
                <w:sz w:val="22"/>
                <w:szCs w:val="22"/>
              </w:rPr>
              <w:t>医院</w:t>
            </w:r>
            <w:r>
              <w:rPr>
                <w:rFonts w:ascii="宋体" w:hAnsi="宋体"/>
                <w:sz w:val="22"/>
                <w:szCs w:val="22"/>
              </w:rPr>
              <w:t>指定的地点</w:t>
            </w:r>
            <w:r>
              <w:rPr>
                <w:rFonts w:hint="eastAsia" w:ascii="宋体" w:hAnsi="宋体"/>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5" w:hRule="atLeast"/>
          <w:jc w:val="center"/>
        </w:trPr>
        <w:tc>
          <w:tcPr>
            <w:tcW w:w="444" w:type="dxa"/>
            <w:vAlign w:val="center"/>
          </w:tcPr>
          <w:p>
            <w:pPr>
              <w:spacing w:line="300" w:lineRule="exact"/>
              <w:jc w:val="center"/>
              <w:rPr>
                <w:rFonts w:ascii="宋体" w:hAnsi="宋体"/>
                <w:szCs w:val="21"/>
              </w:rPr>
            </w:pPr>
            <w:r>
              <w:rPr>
                <w:rFonts w:hint="eastAsia" w:ascii="宋体" w:hAnsi="宋体"/>
                <w:szCs w:val="21"/>
              </w:rPr>
              <w:t>3</w:t>
            </w:r>
          </w:p>
        </w:tc>
        <w:tc>
          <w:tcPr>
            <w:tcW w:w="8375" w:type="dxa"/>
            <w:vAlign w:val="center"/>
          </w:tcPr>
          <w:p>
            <w:pPr>
              <w:rPr>
                <w:rFonts w:ascii="宋体" w:hAnsi="宋体"/>
                <w:sz w:val="22"/>
                <w:szCs w:val="22"/>
              </w:rPr>
            </w:pPr>
            <w:r>
              <w:rPr>
                <w:rFonts w:ascii="宋体" w:hAnsi="宋体"/>
                <w:sz w:val="22"/>
                <w:szCs w:val="22"/>
              </w:rPr>
              <w:t>付款方式：</w:t>
            </w:r>
          </w:p>
          <w:p>
            <w:pPr>
              <w:rPr>
                <w:rFonts w:ascii="宋体" w:hAnsi="宋体"/>
                <w:sz w:val="22"/>
                <w:szCs w:val="22"/>
              </w:rPr>
            </w:pPr>
            <w:r>
              <w:rPr>
                <w:rFonts w:hint="eastAsia" w:ascii="宋体" w:hAnsi="宋体"/>
                <w:sz w:val="22"/>
                <w:szCs w:val="22"/>
              </w:rPr>
              <w:t>中标供应商</w:t>
            </w:r>
            <w:r>
              <w:rPr>
                <w:rFonts w:ascii="宋体" w:hAnsi="宋体"/>
                <w:sz w:val="22"/>
                <w:szCs w:val="22"/>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pPr>
              <w:ind w:firstLine="440" w:firstLineChars="200"/>
              <w:rPr>
                <w:rFonts w:ascii="宋体" w:hAnsi="宋体"/>
                <w:sz w:val="22"/>
                <w:szCs w:val="22"/>
              </w:rPr>
            </w:pPr>
            <w:r>
              <w:rPr>
                <w:rFonts w:hint="eastAsia" w:ascii="宋体" w:hAnsi="宋体"/>
                <w:sz w:val="22"/>
                <w:szCs w:val="22"/>
              </w:rPr>
              <w:t>医院</w:t>
            </w:r>
            <w:r>
              <w:rPr>
                <w:rFonts w:ascii="宋体" w:hAnsi="宋体"/>
                <w:sz w:val="22"/>
                <w:szCs w:val="22"/>
              </w:rPr>
              <w:t>在</w:t>
            </w:r>
            <w:r>
              <w:rPr>
                <w:rFonts w:hint="eastAsia" w:ascii="宋体" w:hAnsi="宋体"/>
                <w:sz w:val="22"/>
                <w:szCs w:val="22"/>
              </w:rPr>
              <w:t>货物验收后</w:t>
            </w:r>
            <w:r>
              <w:rPr>
                <w:rFonts w:ascii="宋体" w:hAnsi="宋体"/>
                <w:sz w:val="22"/>
                <w:szCs w:val="22"/>
              </w:rPr>
              <w:t>，同时收到</w:t>
            </w:r>
            <w:r>
              <w:rPr>
                <w:rFonts w:hint="eastAsia" w:ascii="宋体" w:hAnsi="宋体"/>
                <w:sz w:val="22"/>
                <w:szCs w:val="22"/>
              </w:rPr>
              <w:t>中标供应商</w:t>
            </w:r>
            <w:r>
              <w:rPr>
                <w:rFonts w:ascii="宋体" w:hAnsi="宋体"/>
                <w:sz w:val="22"/>
                <w:szCs w:val="22"/>
              </w:rPr>
              <w:t>开具符合要求的发票后</w:t>
            </w:r>
            <w:r>
              <w:rPr>
                <w:rFonts w:hint="eastAsia" w:ascii="宋体" w:hAnsi="宋体"/>
                <w:sz w:val="22"/>
                <w:szCs w:val="22"/>
              </w:rPr>
              <w:t>：</w:t>
            </w:r>
          </w:p>
          <w:p>
            <w:pPr>
              <w:ind w:firstLine="440" w:firstLineChars="200"/>
              <w:rPr>
                <w:rFonts w:ascii="宋体" w:hAnsi="宋体"/>
                <w:sz w:val="22"/>
                <w:szCs w:val="22"/>
              </w:rPr>
            </w:pPr>
            <w:r>
              <w:rPr>
                <w:rFonts w:hint="eastAsia" w:ascii="宋体" w:hAnsi="宋体"/>
                <w:sz w:val="22"/>
                <w:szCs w:val="22"/>
              </w:rPr>
              <w:t>①中标供应商为中小微企业:医院在货物验收后，同时收到中标供应商开具符合要求的发票后，30日内支付中标供应商货款，但由于中标供应商存在货物质量、到货不及时或其它情况，医院有权延长或拒绝支付。</w:t>
            </w:r>
          </w:p>
          <w:p>
            <w:pPr>
              <w:ind w:firstLine="440" w:firstLineChars="200"/>
              <w:rPr>
                <w:rFonts w:ascii="宋体" w:hAnsi="宋体"/>
                <w:sz w:val="22"/>
                <w:szCs w:val="22"/>
              </w:rPr>
            </w:pPr>
            <w:r>
              <w:rPr>
                <w:rFonts w:hint="eastAsia" w:ascii="宋体" w:hAnsi="宋体"/>
                <w:sz w:val="22"/>
                <w:szCs w:val="22"/>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pPr>
              <w:ind w:firstLine="440" w:firstLineChars="200"/>
              <w:rPr>
                <w:rFonts w:ascii="宋体" w:hAnsi="宋体"/>
                <w:sz w:val="22"/>
                <w:szCs w:val="22"/>
              </w:rPr>
            </w:pPr>
            <w:r>
              <w:rPr>
                <w:rFonts w:hint="eastAsia" w:ascii="宋体" w:hAnsi="宋体"/>
                <w:sz w:val="22"/>
                <w:szCs w:val="22"/>
              </w:rPr>
              <w:t>不满足上述付款条件的，医院有权延期付款且不承担任何责任，中标供应商应继续履行合同义务，合同另有约定的除外。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444" w:type="dxa"/>
            <w:vAlign w:val="center"/>
          </w:tcPr>
          <w:p>
            <w:pPr>
              <w:spacing w:line="300" w:lineRule="exact"/>
              <w:jc w:val="center"/>
              <w:rPr>
                <w:rFonts w:ascii="宋体" w:hAnsi="宋体"/>
                <w:szCs w:val="21"/>
              </w:rPr>
            </w:pPr>
            <w:r>
              <w:rPr>
                <w:rFonts w:hint="eastAsia" w:ascii="宋体" w:hAnsi="宋体"/>
                <w:szCs w:val="21"/>
              </w:rPr>
              <w:t>4</w:t>
            </w:r>
          </w:p>
        </w:tc>
        <w:tc>
          <w:tcPr>
            <w:tcW w:w="8375" w:type="dxa"/>
            <w:vAlign w:val="center"/>
          </w:tcPr>
          <w:p>
            <w:pPr>
              <w:rPr>
                <w:rFonts w:ascii="宋体" w:hAnsi="宋体"/>
                <w:sz w:val="22"/>
                <w:szCs w:val="22"/>
              </w:rPr>
            </w:pPr>
            <w:r>
              <w:rPr>
                <w:rFonts w:hint="eastAsia" w:ascii="宋体" w:hAnsi="宋体"/>
                <w:sz w:val="22"/>
                <w:szCs w:val="22"/>
              </w:rPr>
              <w:t>中标供应商在送货时，应提供医用耗材的质检报告或合格证书，中标供应商</w:t>
            </w:r>
            <w:r>
              <w:rPr>
                <w:rFonts w:ascii="宋体" w:hAnsi="宋体"/>
                <w:sz w:val="22"/>
                <w:szCs w:val="22"/>
              </w:rPr>
              <w:t>在交货</w:t>
            </w:r>
            <w:r>
              <w:rPr>
                <w:rFonts w:hint="eastAsia" w:ascii="宋体" w:hAnsi="宋体"/>
                <w:sz w:val="22"/>
                <w:szCs w:val="22"/>
              </w:rPr>
              <w:t>（仅限于进口货物）</w:t>
            </w:r>
            <w:r>
              <w:rPr>
                <w:rFonts w:ascii="宋体" w:hAnsi="宋体"/>
                <w:sz w:val="22"/>
                <w:szCs w:val="22"/>
              </w:rPr>
              <w:t>时需要提供《中华人民共和国海关进口货物报关单》</w:t>
            </w:r>
            <w:r>
              <w:rPr>
                <w:rFonts w:hint="eastAsia" w:ascii="宋体" w:hAnsi="宋体"/>
                <w:sz w:val="22"/>
                <w:szCs w:val="22"/>
              </w:rPr>
              <w:t>；若为冷链运输，则需要提供冷链运输相关资料。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444" w:type="dxa"/>
            <w:vAlign w:val="center"/>
          </w:tcPr>
          <w:p>
            <w:pPr>
              <w:spacing w:line="300" w:lineRule="exact"/>
              <w:jc w:val="center"/>
              <w:rPr>
                <w:rFonts w:ascii="宋体" w:hAnsi="宋体"/>
                <w:szCs w:val="21"/>
              </w:rPr>
            </w:pPr>
            <w:r>
              <w:rPr>
                <w:rFonts w:hint="eastAsia" w:ascii="宋体" w:hAnsi="宋体"/>
                <w:szCs w:val="21"/>
              </w:rPr>
              <w:t>5</w:t>
            </w:r>
          </w:p>
        </w:tc>
        <w:tc>
          <w:tcPr>
            <w:tcW w:w="8375" w:type="dxa"/>
            <w:vAlign w:val="center"/>
          </w:tcPr>
          <w:p>
            <w:pPr>
              <w:rPr>
                <w:rFonts w:ascii="宋体" w:hAnsi="宋体"/>
                <w:sz w:val="22"/>
                <w:szCs w:val="22"/>
              </w:rPr>
            </w:pPr>
            <w:r>
              <w:rPr>
                <w:rFonts w:hint="eastAsia" w:ascii="宋体" w:hAnsi="宋体" w:cs="宋体"/>
                <w:sz w:val="22"/>
                <w:szCs w:val="22"/>
              </w:rPr>
              <w:t>医用耗材</w:t>
            </w:r>
            <w:r>
              <w:rPr>
                <w:rFonts w:ascii="宋体" w:hAnsi="宋体" w:cs="宋体"/>
                <w:sz w:val="22"/>
                <w:szCs w:val="22"/>
              </w:rPr>
              <w:t>有效期至少在半年以上</w:t>
            </w:r>
            <w:r>
              <w:rPr>
                <w:rFonts w:hint="eastAsia" w:ascii="宋体" w:hAnsi="宋体" w:cs="宋体"/>
                <w:sz w:val="22"/>
                <w:szCs w:val="22"/>
              </w:rPr>
              <w:t>，若涉及试剂，</w:t>
            </w:r>
            <w:r>
              <w:rPr>
                <w:rFonts w:ascii="宋体" w:hAnsi="宋体" w:cs="宋体"/>
                <w:sz w:val="22"/>
                <w:szCs w:val="22"/>
              </w:rPr>
              <w:t>试剂批号一年不超过3个。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7" w:hRule="atLeast"/>
          <w:jc w:val="center"/>
        </w:trPr>
        <w:tc>
          <w:tcPr>
            <w:tcW w:w="444" w:type="dxa"/>
            <w:vAlign w:val="center"/>
          </w:tcPr>
          <w:p>
            <w:pPr>
              <w:spacing w:line="300" w:lineRule="exact"/>
              <w:jc w:val="center"/>
              <w:rPr>
                <w:rFonts w:ascii="宋体" w:hAnsi="宋体"/>
                <w:szCs w:val="21"/>
              </w:rPr>
            </w:pPr>
            <w:r>
              <w:rPr>
                <w:rFonts w:hint="eastAsia" w:ascii="宋体" w:hAnsi="宋体"/>
                <w:szCs w:val="21"/>
              </w:rPr>
              <w:t>6</w:t>
            </w:r>
          </w:p>
        </w:tc>
        <w:tc>
          <w:tcPr>
            <w:tcW w:w="8375" w:type="dxa"/>
            <w:vAlign w:val="center"/>
          </w:tcPr>
          <w:p>
            <w:pPr>
              <w:rPr>
                <w:rFonts w:ascii="宋体" w:hAnsi="宋体"/>
                <w:sz w:val="22"/>
                <w:szCs w:val="22"/>
              </w:rPr>
            </w:pPr>
            <w:r>
              <w:rPr>
                <w:rFonts w:hint="eastAsia" w:ascii="宋体" w:hAnsi="宋体"/>
                <w:sz w:val="22"/>
                <w:szCs w:val="22"/>
              </w:rPr>
              <w:t>验收方案</w:t>
            </w:r>
          </w:p>
          <w:p>
            <w:pPr>
              <w:numPr>
                <w:ilvl w:val="0"/>
                <w:numId w:val="3"/>
              </w:numPr>
              <w:rPr>
                <w:rFonts w:ascii="宋体" w:hAnsi="宋体"/>
                <w:sz w:val="22"/>
                <w:szCs w:val="22"/>
              </w:rPr>
            </w:pPr>
            <w:r>
              <w:rPr>
                <w:rFonts w:hint="eastAsia" w:ascii="宋体" w:hAnsi="宋体"/>
                <w:sz w:val="22"/>
                <w:szCs w:val="22"/>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pPr>
              <w:rPr>
                <w:rFonts w:ascii="宋体" w:hAnsi="宋体"/>
                <w:sz w:val="22"/>
                <w:szCs w:val="22"/>
              </w:rPr>
            </w:pPr>
            <w:r>
              <w:rPr>
                <w:rFonts w:hint="eastAsia" w:ascii="宋体" w:hAnsi="宋体"/>
                <w:sz w:val="22"/>
                <w:szCs w:val="22"/>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pPr>
              <w:rPr>
                <w:rFonts w:ascii="宋体" w:hAnsi="宋体"/>
                <w:sz w:val="22"/>
                <w:szCs w:val="22"/>
              </w:rPr>
            </w:pPr>
            <w:r>
              <w:rPr>
                <w:rFonts w:hint="eastAsia" w:ascii="宋体" w:hAnsi="宋体"/>
                <w:sz w:val="22"/>
                <w:szCs w:val="22"/>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pPr>
              <w:rPr>
                <w:rFonts w:ascii="宋体" w:hAnsi="宋体"/>
                <w:sz w:val="22"/>
                <w:szCs w:val="22"/>
              </w:rPr>
            </w:pPr>
            <w:r>
              <w:rPr>
                <w:rFonts w:hint="eastAsia" w:ascii="宋体" w:hAnsi="宋体"/>
                <w:sz w:val="22"/>
                <w:szCs w:val="22"/>
              </w:rPr>
              <w:t>4、若中标供应商货物为高值耗材或其它医院规定的耗材，中标供应商应按照医院要求完成对医用耗材贴码等工作，由此产生的费用由中标供应商自行承担。</w:t>
            </w:r>
          </w:p>
          <w:p>
            <w:pPr>
              <w:rPr>
                <w:rFonts w:ascii="宋体" w:hAnsi="宋体"/>
                <w:sz w:val="22"/>
                <w:szCs w:val="22"/>
              </w:rPr>
            </w:pPr>
            <w:r>
              <w:rPr>
                <w:rFonts w:hint="eastAsia" w:ascii="宋体" w:hAnsi="宋体"/>
                <w:sz w:val="22"/>
                <w:szCs w:val="22"/>
              </w:rPr>
              <w:t>5、纳入高值耗材管理的医用耗材，需提供一物一码。</w:t>
            </w:r>
          </w:p>
          <w:p>
            <w:pPr>
              <w:rPr>
                <w:rFonts w:ascii="宋体" w:hAnsi="宋体"/>
                <w:sz w:val="22"/>
                <w:szCs w:val="22"/>
              </w:rPr>
            </w:pPr>
            <w:r>
              <w:rPr>
                <w:rFonts w:hint="eastAsia" w:ascii="宋体" w:hAnsi="宋体"/>
                <w:sz w:val="22"/>
                <w:szCs w:val="22"/>
              </w:rPr>
              <w:t>6、医院根据送货单，依照我院医用耗材验收相关制度对货物进行检验后，在送货单上签字视为确认验收。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444" w:type="dxa"/>
            <w:vAlign w:val="center"/>
          </w:tcPr>
          <w:p>
            <w:pPr>
              <w:spacing w:line="300" w:lineRule="exact"/>
              <w:rPr>
                <w:rFonts w:ascii="宋体" w:hAnsi="宋体"/>
                <w:szCs w:val="21"/>
              </w:rPr>
            </w:pPr>
            <w:r>
              <w:rPr>
                <w:rFonts w:hint="eastAsia" w:ascii="宋体" w:hAnsi="宋体"/>
                <w:szCs w:val="21"/>
              </w:rPr>
              <w:t>7</w:t>
            </w:r>
          </w:p>
        </w:tc>
        <w:tc>
          <w:tcPr>
            <w:tcW w:w="8375" w:type="dxa"/>
            <w:vAlign w:val="center"/>
          </w:tcPr>
          <w:p>
            <w:pPr>
              <w:rPr>
                <w:rFonts w:ascii="宋体" w:hAnsi="宋体"/>
                <w:sz w:val="22"/>
                <w:szCs w:val="22"/>
              </w:rPr>
            </w:pPr>
            <w:r>
              <w:rPr>
                <w:rFonts w:hint="eastAsia" w:ascii="宋体" w:hAnsi="宋体"/>
                <w:sz w:val="22"/>
                <w:szCs w:val="22"/>
              </w:rPr>
              <w:t>其它要求：</w:t>
            </w:r>
          </w:p>
          <w:p>
            <w:pPr>
              <w:rPr>
                <w:rFonts w:ascii="宋体" w:hAnsi="宋体"/>
                <w:sz w:val="22"/>
                <w:szCs w:val="22"/>
              </w:rPr>
            </w:pPr>
            <w:r>
              <w:rPr>
                <w:rFonts w:hint="eastAsia" w:ascii="宋体" w:hAnsi="宋体"/>
                <w:sz w:val="22"/>
                <w:szCs w:val="22"/>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pPr>
              <w:rPr>
                <w:rFonts w:ascii="宋体" w:hAnsi="宋体"/>
                <w:sz w:val="22"/>
                <w:szCs w:val="22"/>
              </w:rPr>
            </w:pPr>
            <w:r>
              <w:rPr>
                <w:rFonts w:hint="eastAsia" w:ascii="宋体" w:hAnsi="宋体"/>
                <w:sz w:val="22"/>
                <w:szCs w:val="22"/>
              </w:rPr>
              <w:t>2、医院在医用耗材使用中发现质量问题或货物短缺，经中标供应商认可或经有关法定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pPr>
              <w:rPr>
                <w:rFonts w:ascii="宋体" w:hAnsi="宋体"/>
                <w:sz w:val="22"/>
                <w:szCs w:val="22"/>
              </w:rPr>
            </w:pPr>
            <w:r>
              <w:rPr>
                <w:rFonts w:hint="eastAsia" w:ascii="宋体" w:hAnsi="宋体"/>
                <w:sz w:val="22"/>
                <w:szCs w:val="22"/>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pPr>
              <w:rPr>
                <w:rFonts w:ascii="宋体" w:hAnsi="宋体"/>
                <w:sz w:val="22"/>
                <w:szCs w:val="22"/>
              </w:rPr>
            </w:pPr>
            <w:r>
              <w:rPr>
                <w:rFonts w:hint="eastAsia" w:ascii="宋体" w:hAnsi="宋体"/>
                <w:sz w:val="22"/>
                <w:szCs w:val="22"/>
              </w:rPr>
              <w:t>4、若中标供应商不能及时送货或由于其它原因造成合同不能正常执行，应第一时间与医院进行沟通。</w:t>
            </w:r>
          </w:p>
          <w:p>
            <w:pPr>
              <w:rPr>
                <w:rFonts w:ascii="宋体" w:hAnsi="宋体"/>
                <w:sz w:val="22"/>
                <w:szCs w:val="22"/>
              </w:rPr>
            </w:pPr>
            <w:r>
              <w:rPr>
                <w:rFonts w:hint="eastAsia" w:ascii="宋体" w:hAnsi="宋体"/>
                <w:sz w:val="22"/>
                <w:szCs w:val="22"/>
              </w:rPr>
              <w:t>5、对于效期或其它问题需要更换的医用耗材，中标供应商应积极配合医院进行更换。</w:t>
            </w:r>
          </w:p>
          <w:p>
            <w:pPr>
              <w:rPr>
                <w:rFonts w:ascii="宋体" w:hAnsi="宋体"/>
                <w:sz w:val="22"/>
                <w:szCs w:val="22"/>
              </w:rPr>
            </w:pPr>
            <w:r>
              <w:rPr>
                <w:rFonts w:hint="eastAsia" w:ascii="宋体" w:hAnsi="宋体"/>
                <w:sz w:val="22"/>
                <w:szCs w:val="22"/>
              </w:rPr>
              <w:t>6、中标供应商应根据医院需求，提供医用耗材使用相关培训。</w:t>
            </w:r>
          </w:p>
          <w:p>
            <w:pPr>
              <w:rPr>
                <w:rFonts w:ascii="宋体" w:hAnsi="宋体"/>
                <w:sz w:val="22"/>
                <w:szCs w:val="22"/>
              </w:rPr>
            </w:pPr>
            <w:r>
              <w:rPr>
                <w:rFonts w:hint="eastAsia" w:ascii="宋体" w:hAnsi="宋体"/>
                <w:sz w:val="22"/>
                <w:szCs w:val="22"/>
              </w:rPr>
              <w:t>7、中标供应商应配合医院提供医用耗材相关资料及数据统计等工作，中标供应商在收到医院合同后，应积极配合医院信息化管理，及时上传合同及资质等，并完善相关信息。</w:t>
            </w:r>
          </w:p>
          <w:p>
            <w:pPr>
              <w:rPr>
                <w:rFonts w:ascii="宋体" w:hAnsi="宋体"/>
                <w:sz w:val="22"/>
                <w:szCs w:val="22"/>
              </w:rPr>
            </w:pPr>
            <w:r>
              <w:rPr>
                <w:rFonts w:hint="eastAsia" w:ascii="宋体" w:hAnsi="宋体"/>
                <w:sz w:val="22"/>
                <w:szCs w:val="22"/>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pPr>
              <w:rPr>
                <w:rFonts w:ascii="宋体" w:hAnsi="宋体"/>
                <w:sz w:val="22"/>
                <w:szCs w:val="22"/>
              </w:rPr>
            </w:pPr>
            <w:r>
              <w:rPr>
                <w:rFonts w:hint="eastAsia" w:ascii="宋体" w:hAnsi="宋体"/>
                <w:sz w:val="22"/>
                <w:szCs w:val="22"/>
              </w:rPr>
              <w:t>9、医院有权对标签不明确、包装破损、包装污染、灭菌消毒期限邻近、货物损坏的货物拒收，并且医院不承担任何违约责任。</w:t>
            </w:r>
          </w:p>
          <w:p>
            <w:pPr>
              <w:rPr>
                <w:rFonts w:ascii="宋体" w:hAnsi="宋体"/>
                <w:sz w:val="22"/>
                <w:szCs w:val="22"/>
              </w:rPr>
            </w:pPr>
            <w:r>
              <w:rPr>
                <w:rFonts w:hint="eastAsia" w:ascii="宋体" w:hAnsi="宋体"/>
                <w:sz w:val="22"/>
                <w:szCs w:val="22"/>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pPr>
              <w:rPr>
                <w:rFonts w:ascii="宋体" w:hAnsi="宋体"/>
                <w:sz w:val="22"/>
                <w:szCs w:val="22"/>
              </w:rPr>
            </w:pPr>
          </w:p>
        </w:tc>
      </w:tr>
    </w:tbl>
    <w:p>
      <w:pPr>
        <w:rPr>
          <w:rFonts w:ascii="宋体" w:hAnsi="宋体"/>
          <w:b/>
          <w:szCs w:val="21"/>
        </w:rPr>
      </w:pPr>
    </w:p>
    <w:p>
      <w:pPr>
        <w:rPr>
          <w:rFonts w:ascii="宋体" w:hAnsi="宋体"/>
          <w:b/>
          <w:kern w:val="0"/>
          <w:sz w:val="28"/>
          <w:szCs w:val="21"/>
        </w:rPr>
      </w:pPr>
      <w:r>
        <w:rPr>
          <w:rFonts w:hint="eastAsia" w:ascii="宋体" w:hAnsi="宋体"/>
          <w:b/>
          <w:szCs w:val="21"/>
        </w:rPr>
        <w:t>三、</w:t>
      </w:r>
      <w:r>
        <w:rPr>
          <w:rFonts w:hint="eastAsia" w:ascii="宋体" w:hAnsi="宋体"/>
          <w:b/>
          <w:kern w:val="0"/>
          <w:sz w:val="28"/>
          <w:szCs w:val="21"/>
        </w:rPr>
        <w:t>采购程序及方法、评审标准、无效响应和采购终止</w:t>
      </w:r>
      <w:bookmarkStart w:id="0" w:name="_Toc13485"/>
      <w:bookmarkStart w:id="1" w:name="_Toc14958"/>
      <w:bookmarkStart w:id="2" w:name="_Toc106030888"/>
      <w:bookmarkStart w:id="3" w:name="_Toc76462333"/>
    </w:p>
    <w:p>
      <w:pPr>
        <w:rPr>
          <w:rFonts w:ascii="宋体" w:hAnsi="宋体"/>
          <w:b/>
          <w:kern w:val="0"/>
          <w:sz w:val="28"/>
          <w:szCs w:val="21"/>
        </w:rPr>
      </w:pPr>
    </w:p>
    <w:p>
      <w:pPr>
        <w:numPr>
          <w:ilvl w:val="0"/>
          <w:numId w:val="4"/>
        </w:numPr>
        <w:rPr>
          <w:rFonts w:ascii="宋体" w:hAnsi="宋体"/>
          <w:kern w:val="0"/>
          <w:szCs w:val="21"/>
        </w:rPr>
      </w:pPr>
      <w:r>
        <w:rPr>
          <w:rFonts w:hint="eastAsia" w:ascii="宋体" w:hAnsi="宋体"/>
          <w:kern w:val="0"/>
          <w:szCs w:val="21"/>
        </w:rPr>
        <w:t>采购程序</w:t>
      </w:r>
      <w:bookmarkEnd w:id="0"/>
      <w:bookmarkEnd w:id="1"/>
      <w:bookmarkEnd w:id="2"/>
      <w:bookmarkEnd w:id="3"/>
    </w:p>
    <w:p>
      <w:pPr>
        <w:spacing w:line="400" w:lineRule="exact"/>
        <w:ind w:firstLine="420" w:firstLineChars="200"/>
        <w:rPr>
          <w:rFonts w:ascii="宋体" w:hAnsi="宋体"/>
          <w:kern w:val="0"/>
          <w:szCs w:val="21"/>
        </w:rPr>
      </w:pPr>
      <w:r>
        <w:rPr>
          <w:rFonts w:hint="eastAsia" w:ascii="宋体" w:hAnsi="宋体"/>
          <w:kern w:val="0"/>
          <w:szCs w:val="21"/>
        </w:rPr>
        <w:t>（一）按采购文件规定的时间和地点进行，投标人须有法定代表人（或其授权代表）或自然人参加。</w:t>
      </w:r>
    </w:p>
    <w:p>
      <w:pPr>
        <w:spacing w:line="400" w:lineRule="exact"/>
        <w:ind w:firstLine="420" w:firstLineChars="200"/>
        <w:rPr>
          <w:rFonts w:ascii="宋体" w:hAnsi="宋体"/>
          <w:kern w:val="0"/>
          <w:szCs w:val="21"/>
        </w:rPr>
      </w:pPr>
      <w:r>
        <w:rPr>
          <w:rFonts w:hint="eastAsia" w:ascii="宋体" w:hAnsi="宋体"/>
          <w:kern w:val="0"/>
          <w:szCs w:val="21"/>
        </w:rPr>
        <w:t>（二）评标小组对各投标人的资格条件进行审查。各投标人只有在完全符合要求的前提下，才能参与正式采购。</w:t>
      </w:r>
    </w:p>
    <w:p>
      <w:pPr>
        <w:snapToGrid w:val="0"/>
        <w:spacing w:line="400" w:lineRule="exact"/>
        <w:ind w:firstLine="420" w:firstLineChars="200"/>
        <w:rPr>
          <w:rFonts w:ascii="宋体" w:hAnsi="宋体"/>
          <w:kern w:val="0"/>
          <w:szCs w:val="21"/>
        </w:rPr>
      </w:pPr>
      <w:r>
        <w:rPr>
          <w:rFonts w:hint="eastAsia" w:ascii="宋体" w:hAnsi="宋体"/>
          <w:kern w:val="0"/>
          <w:szCs w:val="21"/>
        </w:rPr>
        <w:t>依据法律法规和采购文件的规定，对响应文件中的资格证明等进行审查，以确定投标人是否具备采购资格。资格性审查资料表如下：</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2424"/>
        <w:gridCol w:w="5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2" w:type="pct"/>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firstLine="420" w:firstLineChars="200"/>
              <w:rPr>
                <w:rFonts w:ascii="宋体" w:hAnsi="宋体"/>
                <w:kern w:val="0"/>
                <w:szCs w:val="21"/>
              </w:rPr>
            </w:pPr>
            <w:r>
              <w:rPr>
                <w:rFonts w:hint="eastAsia" w:ascii="宋体" w:hAnsi="宋体"/>
                <w:kern w:val="0"/>
                <w:szCs w:val="21"/>
              </w:rPr>
              <w:t>检查因素</w:t>
            </w:r>
          </w:p>
        </w:tc>
        <w:tc>
          <w:tcPr>
            <w:tcW w:w="2828" w:type="pct"/>
            <w:tcBorders>
              <w:top w:val="single" w:color="auto" w:sz="4" w:space="0"/>
              <w:left w:val="single" w:color="auto" w:sz="4" w:space="0"/>
              <w:bottom w:val="single" w:color="auto" w:sz="4" w:space="0"/>
              <w:right w:val="single" w:color="auto" w:sz="4" w:space="0"/>
            </w:tcBorders>
            <w:noWrap/>
            <w:vAlign w:val="center"/>
          </w:tcPr>
          <w:p>
            <w:pPr>
              <w:spacing w:line="400" w:lineRule="exact"/>
              <w:ind w:firstLine="420" w:firstLineChars="200"/>
              <w:rPr>
                <w:rFonts w:ascii="宋体" w:hAnsi="宋体"/>
                <w:kern w:val="0"/>
                <w:szCs w:val="21"/>
              </w:rPr>
            </w:pPr>
            <w:r>
              <w:rPr>
                <w:rFonts w:hint="eastAsia" w:ascii="宋体" w:hAnsi="宋体"/>
                <w:kern w:val="0"/>
                <w:szCs w:val="21"/>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restart"/>
            <w:noWrap/>
            <w:vAlign w:val="center"/>
          </w:tcPr>
          <w:p>
            <w:pPr>
              <w:spacing w:line="400" w:lineRule="exact"/>
              <w:ind w:firstLine="420" w:firstLineChars="200"/>
              <w:rPr>
                <w:rFonts w:ascii="宋体" w:hAnsi="宋体"/>
                <w:kern w:val="0"/>
                <w:szCs w:val="21"/>
              </w:rPr>
            </w:pPr>
            <w:r>
              <w:rPr>
                <w:rFonts w:hint="eastAsia" w:ascii="宋体" w:hAnsi="宋体"/>
                <w:kern w:val="0"/>
                <w:szCs w:val="21"/>
              </w:rPr>
              <w:t>《中华人民共和国政府采购法》第二十二条规定</w:t>
            </w:r>
          </w:p>
        </w:tc>
        <w:tc>
          <w:tcPr>
            <w:tcW w:w="1685"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1.具有独立承担民事责任的能力</w:t>
            </w:r>
          </w:p>
        </w:tc>
        <w:tc>
          <w:tcPr>
            <w:tcW w:w="2828"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 xml:space="preserve">1.投标人法人营业执照（副本）或事业单位法人证书（副本）或个体工商户营业执照或有效的自然人身份证明或社会团体法人登记证书（提供复印件）。 </w:t>
            </w:r>
          </w:p>
          <w:p>
            <w:pPr>
              <w:spacing w:line="400" w:lineRule="exact"/>
              <w:ind w:firstLine="420" w:firstLineChars="200"/>
              <w:rPr>
                <w:rFonts w:ascii="宋体" w:hAnsi="宋体"/>
                <w:kern w:val="0"/>
                <w:szCs w:val="21"/>
              </w:rPr>
            </w:pPr>
            <w:r>
              <w:rPr>
                <w:rFonts w:hint="eastAsia" w:ascii="宋体" w:hAnsi="宋体"/>
                <w:kern w:val="0"/>
                <w:szCs w:val="21"/>
              </w:rPr>
              <w:t>2.投标人法定代表人身份证明和法定代表人授权代表委托书。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noWrap/>
            <w:vAlign w:val="center"/>
          </w:tcPr>
          <w:p>
            <w:pPr>
              <w:spacing w:line="400" w:lineRule="exact"/>
              <w:ind w:firstLine="420" w:firstLineChars="200"/>
              <w:rPr>
                <w:rFonts w:ascii="宋体" w:hAnsi="宋体"/>
                <w:kern w:val="0"/>
                <w:szCs w:val="21"/>
              </w:rPr>
            </w:pPr>
          </w:p>
        </w:tc>
        <w:tc>
          <w:tcPr>
            <w:tcW w:w="1685"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2.具有良好的商业信誉和健全的财务会计制度</w:t>
            </w:r>
          </w:p>
        </w:tc>
        <w:tc>
          <w:tcPr>
            <w:tcW w:w="2828" w:type="pct"/>
            <w:vMerge w:val="restart"/>
            <w:noWrap/>
            <w:vAlign w:val="center"/>
          </w:tcPr>
          <w:p>
            <w:pPr>
              <w:spacing w:line="400" w:lineRule="exact"/>
              <w:ind w:firstLine="420" w:firstLineChars="200"/>
              <w:rPr>
                <w:rFonts w:ascii="宋体" w:hAnsi="宋体"/>
                <w:kern w:val="0"/>
                <w:szCs w:val="21"/>
              </w:rPr>
            </w:pPr>
            <w:r>
              <w:rPr>
                <w:rFonts w:hint="eastAsia" w:ascii="宋体" w:hAnsi="宋体"/>
                <w:kern w:val="0"/>
                <w:szCs w:val="21"/>
              </w:rPr>
              <w:t>投标人提供“基本资格条件承诺函”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noWrap/>
            <w:vAlign w:val="center"/>
          </w:tcPr>
          <w:p>
            <w:pPr>
              <w:spacing w:line="400" w:lineRule="exact"/>
              <w:ind w:firstLine="420" w:firstLineChars="200"/>
              <w:rPr>
                <w:rFonts w:ascii="宋体" w:hAnsi="宋体"/>
                <w:kern w:val="0"/>
                <w:szCs w:val="21"/>
              </w:rPr>
            </w:pPr>
          </w:p>
        </w:tc>
        <w:tc>
          <w:tcPr>
            <w:tcW w:w="1685"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3.具有履行合同所必需的设备和专业技术能力</w:t>
            </w:r>
          </w:p>
        </w:tc>
        <w:tc>
          <w:tcPr>
            <w:tcW w:w="2828" w:type="pct"/>
            <w:vMerge w:val="continue"/>
            <w:noWrap/>
            <w:vAlign w:val="center"/>
          </w:tcPr>
          <w:p>
            <w:pPr>
              <w:spacing w:line="400" w:lineRule="exact"/>
              <w:ind w:firstLine="420" w:firstLineChars="200"/>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noWrap/>
            <w:vAlign w:val="center"/>
          </w:tcPr>
          <w:p>
            <w:pPr>
              <w:spacing w:line="400" w:lineRule="exact"/>
              <w:ind w:firstLine="420" w:firstLineChars="200"/>
              <w:rPr>
                <w:rFonts w:ascii="宋体" w:hAnsi="宋体"/>
                <w:kern w:val="0"/>
                <w:szCs w:val="21"/>
              </w:rPr>
            </w:pPr>
          </w:p>
        </w:tc>
        <w:tc>
          <w:tcPr>
            <w:tcW w:w="1685"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4.有依法缴纳税收和社会保障金的良好记录</w:t>
            </w:r>
          </w:p>
        </w:tc>
        <w:tc>
          <w:tcPr>
            <w:tcW w:w="2828" w:type="pct"/>
            <w:vMerge w:val="continue"/>
            <w:noWrap/>
            <w:vAlign w:val="center"/>
          </w:tcPr>
          <w:p>
            <w:pPr>
              <w:spacing w:line="400" w:lineRule="exact"/>
              <w:ind w:firstLine="420" w:firstLineChars="200"/>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noWrap/>
            <w:vAlign w:val="center"/>
          </w:tcPr>
          <w:p>
            <w:pPr>
              <w:spacing w:line="400" w:lineRule="exact"/>
              <w:ind w:firstLine="420" w:firstLineChars="200"/>
              <w:rPr>
                <w:rFonts w:ascii="宋体" w:hAnsi="宋体"/>
                <w:kern w:val="0"/>
                <w:szCs w:val="21"/>
              </w:rPr>
            </w:pPr>
          </w:p>
        </w:tc>
        <w:tc>
          <w:tcPr>
            <w:tcW w:w="1685"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5.参加政府采购活动前三年内，在经营活动中没有重大违法记录</w:t>
            </w:r>
          </w:p>
        </w:tc>
        <w:tc>
          <w:tcPr>
            <w:tcW w:w="2828" w:type="pct"/>
            <w:vMerge w:val="continue"/>
            <w:noWrap/>
            <w:vAlign w:val="center"/>
          </w:tcPr>
          <w:p>
            <w:pPr>
              <w:spacing w:line="400" w:lineRule="exact"/>
              <w:ind w:firstLine="420" w:firstLineChars="200"/>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87" w:type="pct"/>
            <w:vMerge w:val="continue"/>
            <w:noWrap/>
            <w:vAlign w:val="center"/>
          </w:tcPr>
          <w:p>
            <w:pPr>
              <w:spacing w:line="400" w:lineRule="exact"/>
              <w:ind w:firstLine="420" w:firstLineChars="200"/>
              <w:rPr>
                <w:rFonts w:ascii="宋体" w:hAnsi="宋体"/>
                <w:kern w:val="0"/>
                <w:szCs w:val="21"/>
              </w:rPr>
            </w:pPr>
          </w:p>
        </w:tc>
        <w:tc>
          <w:tcPr>
            <w:tcW w:w="1685"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6.法律、行政法规规定的其他条件</w:t>
            </w:r>
          </w:p>
        </w:tc>
        <w:tc>
          <w:tcPr>
            <w:tcW w:w="2828" w:type="pct"/>
            <w:noWrap/>
            <w:vAlign w:val="center"/>
          </w:tcPr>
          <w:p>
            <w:pPr>
              <w:spacing w:line="400" w:lineRule="exact"/>
              <w:ind w:firstLine="420" w:firstLineChars="200"/>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87" w:type="pct"/>
            <w:vMerge w:val="continue"/>
            <w:noWrap/>
            <w:vAlign w:val="center"/>
          </w:tcPr>
          <w:p>
            <w:pPr>
              <w:spacing w:line="400" w:lineRule="exact"/>
              <w:ind w:firstLine="420" w:firstLineChars="200"/>
              <w:rPr>
                <w:rFonts w:ascii="宋体" w:hAnsi="宋体"/>
                <w:kern w:val="0"/>
                <w:szCs w:val="21"/>
              </w:rPr>
            </w:pPr>
          </w:p>
        </w:tc>
        <w:tc>
          <w:tcPr>
            <w:tcW w:w="1685"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7.本项目的特定资格要求</w:t>
            </w:r>
          </w:p>
        </w:tc>
        <w:tc>
          <w:tcPr>
            <w:tcW w:w="2828" w:type="pct"/>
            <w:noWrap/>
            <w:vAlign w:val="center"/>
          </w:tcPr>
          <w:p>
            <w:pPr>
              <w:spacing w:line="400" w:lineRule="exact"/>
              <w:ind w:firstLine="420" w:firstLineChars="200"/>
              <w:rPr>
                <w:rFonts w:ascii="宋体" w:hAnsi="宋体"/>
                <w:kern w:val="0"/>
                <w:szCs w:val="21"/>
              </w:rPr>
            </w:pPr>
            <w:r>
              <w:rPr>
                <w:rFonts w:hint="eastAsia" w:ascii="宋体" w:hAnsi="宋体"/>
                <w:kern w:val="0"/>
                <w:szCs w:val="21"/>
              </w:rPr>
              <w:t>按“本项目的特定资格要求”的要求提交（如果有）。</w:t>
            </w:r>
          </w:p>
        </w:tc>
      </w:tr>
    </w:tbl>
    <w:p>
      <w:pPr>
        <w:spacing w:line="400" w:lineRule="exact"/>
        <w:ind w:firstLine="420" w:firstLineChars="200"/>
        <w:rPr>
          <w:rFonts w:ascii="宋体" w:hAnsi="宋体"/>
          <w:kern w:val="0"/>
          <w:szCs w:val="21"/>
        </w:rPr>
      </w:pPr>
      <w:r>
        <w:rPr>
          <w:rFonts w:hint="eastAsia" w:ascii="宋体" w:hAnsi="宋体"/>
          <w:kern w:val="0"/>
          <w:szCs w:val="21"/>
        </w:rPr>
        <w:t>注：根据《</w:t>
      </w:r>
      <w:r>
        <w:rPr>
          <w:rFonts w:ascii="宋体" w:hAnsi="宋体"/>
          <w:kern w:val="0"/>
          <w:szCs w:val="21"/>
        </w:rPr>
        <w:t>中华人民共和国政府采购法实施条例</w:t>
      </w:r>
      <w:r>
        <w:rPr>
          <w:rFonts w:hint="eastAsia" w:ascii="宋体" w:hAnsi="宋体"/>
          <w:kern w:val="0"/>
          <w:szCs w:val="21"/>
        </w:rPr>
        <w:t>》第十九条“参加政府采购活动前三年内，在经营活动中没有重大违法记录”中“重大违法记录”</w:t>
      </w:r>
      <w:r>
        <w:rPr>
          <w:rFonts w:ascii="宋体" w:hAnsi="宋体"/>
          <w:kern w:val="0"/>
          <w:szCs w:val="21"/>
        </w:rPr>
        <w:t>，是指</w:t>
      </w:r>
      <w:r>
        <w:rPr>
          <w:rFonts w:hint="eastAsia" w:ascii="宋体" w:hAnsi="宋体"/>
          <w:kern w:val="0"/>
          <w:szCs w:val="21"/>
        </w:rPr>
        <w:t>投标人</w:t>
      </w:r>
      <w:r>
        <w:rPr>
          <w:rFonts w:ascii="宋体" w:hAnsi="宋体"/>
          <w:kern w:val="0"/>
          <w:szCs w:val="21"/>
        </w:rPr>
        <w:t>因违法经营受到刑事处罚或者责令停产停业、吊销许可证或者执照、较大数额罚款等行政处罚。</w:t>
      </w:r>
      <w:r>
        <w:rPr>
          <w:rFonts w:hint="eastAsia" w:ascii="宋体" w:hAnsi="宋体"/>
          <w:kern w:val="0"/>
          <w:szCs w:val="21"/>
        </w:rPr>
        <w:t>行政处罚中“较大数额”的认定标准，按照“</w:t>
      </w:r>
      <w:r>
        <w:rPr>
          <w:rFonts w:ascii="宋体" w:hAnsi="宋体"/>
          <w:kern w:val="0"/>
          <w:szCs w:val="21"/>
        </w:rPr>
        <w:t>财政部关于《中华人民共和国政府采购法实施条例》第十九条第一款“较大数额罚款”具体适用问题的意见</w:t>
      </w:r>
      <w:r>
        <w:rPr>
          <w:rFonts w:hint="eastAsia" w:ascii="宋体" w:hAnsi="宋体"/>
          <w:kern w:val="0"/>
          <w:szCs w:val="21"/>
        </w:rPr>
        <w:t>（财库〔2022〕3 号）”执行。投标人可于响应文件递交截止时间前通过 “信用中国”网站(www.creditchina.gov.cn)、"中国政府采购网"(www.ccgp.gov.cn)等渠道查询信用记录。</w:t>
      </w:r>
    </w:p>
    <w:p>
      <w:pPr>
        <w:numPr>
          <w:ilvl w:val="0"/>
          <w:numId w:val="4"/>
        </w:numPr>
        <w:spacing w:line="400" w:lineRule="exact"/>
        <w:rPr>
          <w:rFonts w:ascii="宋体" w:hAnsi="宋体"/>
          <w:kern w:val="0"/>
          <w:szCs w:val="21"/>
        </w:rPr>
      </w:pPr>
      <w:bookmarkStart w:id="4" w:name="_Toc25824"/>
      <w:r>
        <w:rPr>
          <w:rFonts w:hint="eastAsia" w:ascii="宋体" w:hAnsi="宋体"/>
          <w:kern w:val="0"/>
          <w:szCs w:val="21"/>
        </w:rPr>
        <w:t>评标方法</w:t>
      </w:r>
      <w:bookmarkEnd w:id="4"/>
    </w:p>
    <w:p>
      <w:pPr>
        <w:spacing w:line="400" w:lineRule="exact"/>
        <w:ind w:firstLine="420" w:firstLineChars="200"/>
        <w:rPr>
          <w:rFonts w:ascii="宋体" w:hAnsi="宋体"/>
          <w:kern w:val="0"/>
          <w:szCs w:val="21"/>
        </w:rPr>
      </w:pPr>
      <w:r>
        <w:rPr>
          <w:rFonts w:hint="eastAsia" w:ascii="宋体" w:hAnsi="宋体"/>
          <w:kern w:val="0"/>
          <w:szCs w:val="21"/>
        </w:rPr>
        <w:t>本项目</w:t>
      </w:r>
      <w:r>
        <w:rPr>
          <w:rFonts w:hint="eastAsia" w:ascii="宋体" w:hAnsi="宋体"/>
          <w:szCs w:val="21"/>
        </w:rPr>
        <w:t>采用最低价评标法进行评标</w:t>
      </w:r>
      <w:r>
        <w:rPr>
          <w:rFonts w:hint="eastAsia" w:ascii="宋体" w:hAnsi="宋体"/>
          <w:kern w:val="0"/>
          <w:szCs w:val="21"/>
        </w:rPr>
        <w:t>。</w:t>
      </w:r>
    </w:p>
    <w:p>
      <w:pPr>
        <w:spacing w:line="400" w:lineRule="exact"/>
        <w:ind w:firstLine="420" w:firstLineChars="200"/>
        <w:rPr>
          <w:rFonts w:ascii="宋体" w:hAnsi="宋体"/>
          <w:kern w:val="0"/>
          <w:szCs w:val="21"/>
        </w:rPr>
      </w:pPr>
      <w:bookmarkStart w:id="5" w:name="_Toc76462335"/>
      <w:bookmarkStart w:id="6" w:name="_Toc106030890"/>
      <w:bookmarkStart w:id="7" w:name="_Toc31497"/>
      <w:bookmarkStart w:id="8" w:name="_Toc10063"/>
      <w:bookmarkStart w:id="9" w:name="_Toc102227320"/>
      <w:bookmarkStart w:id="10" w:name="_Toc342913394"/>
      <w:r>
        <w:rPr>
          <w:rFonts w:hint="eastAsia" w:ascii="宋体" w:hAnsi="宋体"/>
          <w:szCs w:val="21"/>
        </w:rPr>
        <w:t>最低价评标法，是指</w:t>
      </w:r>
      <w:r>
        <w:rPr>
          <w:rFonts w:hint="eastAsia" w:ascii="宋体" w:hAnsi="宋体" w:cs="宋体"/>
          <w:bCs/>
          <w:color w:val="000000"/>
          <w:szCs w:val="21"/>
        </w:rPr>
        <w:t>满足需求的条件且</w:t>
      </w:r>
      <w:r>
        <w:rPr>
          <w:rFonts w:hint="eastAsia" w:ascii="宋体" w:hAnsi="宋体"/>
          <w:szCs w:val="21"/>
        </w:rPr>
        <w:t>投标报价最低的投标人为中标候选人的评标方法。</w:t>
      </w:r>
    </w:p>
    <w:p>
      <w:pPr>
        <w:numPr>
          <w:ilvl w:val="0"/>
          <w:numId w:val="4"/>
        </w:numPr>
        <w:spacing w:line="400" w:lineRule="exact"/>
        <w:rPr>
          <w:rFonts w:ascii="宋体" w:hAnsi="宋体"/>
          <w:kern w:val="0"/>
          <w:szCs w:val="21"/>
        </w:rPr>
      </w:pPr>
      <w:r>
        <w:rPr>
          <w:rFonts w:hint="eastAsia" w:ascii="宋体" w:hAnsi="宋体"/>
          <w:kern w:val="0"/>
          <w:szCs w:val="21"/>
        </w:rPr>
        <w:t>报价方式</w:t>
      </w:r>
    </w:p>
    <w:p>
      <w:pPr>
        <w:spacing w:line="400" w:lineRule="exact"/>
        <w:ind w:firstLine="420" w:firstLineChars="200"/>
        <w:rPr>
          <w:rFonts w:ascii="宋体" w:hAnsi="宋体"/>
          <w:kern w:val="0"/>
          <w:szCs w:val="21"/>
        </w:rPr>
      </w:pPr>
      <w:bookmarkStart w:id="11" w:name="_Toc5837"/>
      <w:r>
        <w:rPr>
          <w:rFonts w:hint="eastAsia" w:ascii="宋体" w:hAnsi="宋体"/>
          <w:kern w:val="0"/>
          <w:szCs w:val="21"/>
        </w:rPr>
        <w:t>本项目投标人可在投标现场进行第二次报价，现场手写并确认签字。</w:t>
      </w:r>
      <w:bookmarkEnd w:id="11"/>
    </w:p>
    <w:p>
      <w:pPr>
        <w:numPr>
          <w:ilvl w:val="0"/>
          <w:numId w:val="4"/>
        </w:numPr>
        <w:spacing w:line="400" w:lineRule="exact"/>
        <w:rPr>
          <w:rFonts w:ascii="宋体" w:hAnsi="宋体"/>
          <w:kern w:val="0"/>
          <w:szCs w:val="21"/>
        </w:rPr>
      </w:pPr>
      <w:r>
        <w:rPr>
          <w:rFonts w:hint="eastAsia" w:ascii="宋体" w:hAnsi="宋体"/>
          <w:kern w:val="0"/>
          <w:szCs w:val="21"/>
        </w:rPr>
        <w:t>无效响应</w:t>
      </w:r>
      <w:bookmarkEnd w:id="5"/>
      <w:bookmarkEnd w:id="6"/>
      <w:bookmarkEnd w:id="7"/>
      <w:bookmarkEnd w:id="8"/>
    </w:p>
    <w:p>
      <w:pPr>
        <w:spacing w:line="400" w:lineRule="exact"/>
        <w:ind w:firstLine="420" w:firstLineChars="200"/>
        <w:rPr>
          <w:rFonts w:ascii="宋体" w:hAnsi="宋体"/>
          <w:kern w:val="0"/>
          <w:szCs w:val="21"/>
        </w:rPr>
      </w:pPr>
      <w:r>
        <w:rPr>
          <w:rFonts w:hint="eastAsia" w:ascii="宋体" w:hAnsi="宋体"/>
          <w:kern w:val="0"/>
          <w:szCs w:val="21"/>
        </w:rPr>
        <w:t>投标人发生以下条款情况之一者，视为无效响应，其响应文件将被拒绝：</w:t>
      </w:r>
    </w:p>
    <w:p>
      <w:pPr>
        <w:spacing w:line="400" w:lineRule="exact"/>
        <w:ind w:firstLine="420" w:firstLineChars="200"/>
        <w:rPr>
          <w:rFonts w:ascii="宋体" w:hAnsi="宋体"/>
          <w:kern w:val="0"/>
          <w:szCs w:val="21"/>
        </w:rPr>
      </w:pPr>
      <w:r>
        <w:rPr>
          <w:rFonts w:hint="eastAsia" w:ascii="宋体" w:hAnsi="宋体"/>
          <w:kern w:val="0"/>
          <w:szCs w:val="21"/>
        </w:rPr>
        <w:t>（一）投标人不符合规定的资格条件的；</w:t>
      </w:r>
    </w:p>
    <w:p>
      <w:pPr>
        <w:spacing w:line="400" w:lineRule="exact"/>
        <w:ind w:firstLine="420" w:firstLineChars="200"/>
        <w:rPr>
          <w:rFonts w:ascii="宋体" w:hAnsi="宋体"/>
          <w:kern w:val="0"/>
          <w:szCs w:val="21"/>
        </w:rPr>
      </w:pPr>
      <w:r>
        <w:rPr>
          <w:rFonts w:hint="eastAsia" w:ascii="宋体" w:hAnsi="宋体"/>
          <w:kern w:val="0"/>
          <w:szCs w:val="21"/>
        </w:rPr>
        <w:t>（二）投标人的法定代表人（或其授权代表）或自然人未参加采购；</w:t>
      </w:r>
    </w:p>
    <w:p>
      <w:pPr>
        <w:spacing w:line="400" w:lineRule="exact"/>
        <w:ind w:firstLine="420" w:firstLineChars="200"/>
        <w:rPr>
          <w:rFonts w:ascii="宋体" w:hAnsi="宋体"/>
          <w:kern w:val="0"/>
          <w:szCs w:val="21"/>
        </w:rPr>
      </w:pPr>
      <w:r>
        <w:rPr>
          <w:rFonts w:hint="eastAsia" w:ascii="宋体" w:hAnsi="宋体"/>
          <w:kern w:val="0"/>
          <w:szCs w:val="21"/>
        </w:rPr>
        <w:t>（三）投标人所提交的响应文件不按响应文件编制要求要求签署或盖章；</w:t>
      </w:r>
    </w:p>
    <w:p>
      <w:pPr>
        <w:spacing w:line="400" w:lineRule="exact"/>
        <w:ind w:firstLine="420" w:firstLineChars="200"/>
        <w:rPr>
          <w:rFonts w:ascii="宋体" w:hAnsi="宋体"/>
          <w:kern w:val="0"/>
          <w:szCs w:val="21"/>
        </w:rPr>
      </w:pPr>
      <w:r>
        <w:rPr>
          <w:rFonts w:hint="eastAsia" w:ascii="宋体" w:hAnsi="宋体"/>
          <w:kern w:val="0"/>
          <w:szCs w:val="21"/>
        </w:rPr>
        <w:t>（四）投标人的最后报价超过采购预算或最高限价的；</w:t>
      </w:r>
    </w:p>
    <w:p>
      <w:pPr>
        <w:spacing w:line="400" w:lineRule="exact"/>
        <w:ind w:firstLine="420" w:firstLineChars="200"/>
        <w:rPr>
          <w:rFonts w:ascii="宋体" w:hAnsi="宋体"/>
          <w:kern w:val="0"/>
          <w:szCs w:val="21"/>
        </w:rPr>
      </w:pPr>
      <w:r>
        <w:rPr>
          <w:rFonts w:hint="eastAsia" w:ascii="宋体" w:hAnsi="宋体"/>
          <w:kern w:val="0"/>
          <w:szCs w:val="21"/>
        </w:rPr>
        <w:t>（五）法定代表人为同一个人的两个及两个以上法人，母公司、全资子公司及其控股公司，在同一包采购中同时参与采购；</w:t>
      </w:r>
    </w:p>
    <w:p>
      <w:pPr>
        <w:spacing w:line="400" w:lineRule="exact"/>
        <w:ind w:firstLine="420" w:firstLineChars="200"/>
        <w:rPr>
          <w:rFonts w:ascii="宋体" w:hAnsi="宋体"/>
          <w:kern w:val="0"/>
          <w:szCs w:val="21"/>
        </w:rPr>
      </w:pPr>
      <w:r>
        <w:rPr>
          <w:rFonts w:hint="eastAsia" w:ascii="宋体" w:hAnsi="宋体"/>
          <w:kern w:val="0"/>
          <w:szCs w:val="21"/>
        </w:rPr>
        <w:t>（六）单位负责人为同一人或者存在直接控股、管理关系的不同投标人，参加同一合同项下的采购活动的；</w:t>
      </w:r>
    </w:p>
    <w:p>
      <w:pPr>
        <w:spacing w:line="400" w:lineRule="exact"/>
        <w:ind w:firstLine="420" w:firstLineChars="200"/>
        <w:rPr>
          <w:rFonts w:ascii="宋体" w:hAnsi="宋体"/>
          <w:kern w:val="0"/>
          <w:szCs w:val="21"/>
        </w:rPr>
      </w:pPr>
      <w:r>
        <w:rPr>
          <w:rFonts w:hint="eastAsia" w:ascii="宋体" w:hAnsi="宋体"/>
          <w:kern w:val="0"/>
          <w:szCs w:val="21"/>
        </w:rPr>
        <w:t>（七）</w:t>
      </w:r>
      <w:r>
        <w:rPr>
          <w:rFonts w:ascii="宋体" w:hAnsi="宋体"/>
          <w:kern w:val="0"/>
          <w:szCs w:val="21"/>
        </w:rPr>
        <w:t>为采购项目提供整体设计、规范编制或者项目管理、监理、检测等服务的</w:t>
      </w:r>
      <w:r>
        <w:rPr>
          <w:rFonts w:hint="eastAsia" w:ascii="宋体" w:hAnsi="宋体"/>
          <w:kern w:val="0"/>
          <w:szCs w:val="21"/>
        </w:rPr>
        <w:t>投标人</w:t>
      </w:r>
      <w:r>
        <w:rPr>
          <w:rFonts w:ascii="宋体" w:hAnsi="宋体"/>
          <w:kern w:val="0"/>
          <w:szCs w:val="21"/>
        </w:rPr>
        <w:t>，再参加</w:t>
      </w:r>
      <w:r>
        <w:rPr>
          <w:rFonts w:hint="eastAsia" w:ascii="宋体" w:hAnsi="宋体"/>
          <w:kern w:val="0"/>
          <w:szCs w:val="21"/>
        </w:rPr>
        <w:t>该采购</w:t>
      </w:r>
      <w:r>
        <w:rPr>
          <w:rFonts w:ascii="宋体" w:hAnsi="宋体"/>
          <w:kern w:val="0"/>
          <w:szCs w:val="21"/>
        </w:rPr>
        <w:t>项目的</w:t>
      </w:r>
      <w:r>
        <w:rPr>
          <w:rFonts w:hint="eastAsia" w:ascii="宋体" w:hAnsi="宋体"/>
          <w:kern w:val="0"/>
          <w:szCs w:val="21"/>
        </w:rPr>
        <w:t>其他</w:t>
      </w:r>
      <w:r>
        <w:rPr>
          <w:rFonts w:ascii="宋体" w:hAnsi="宋体"/>
          <w:kern w:val="0"/>
          <w:szCs w:val="21"/>
        </w:rPr>
        <w:t>采购活动</w:t>
      </w:r>
      <w:r>
        <w:rPr>
          <w:rFonts w:hint="eastAsia" w:ascii="宋体" w:hAnsi="宋体"/>
          <w:kern w:val="0"/>
          <w:szCs w:val="21"/>
        </w:rPr>
        <w:t>；</w:t>
      </w:r>
    </w:p>
    <w:p>
      <w:pPr>
        <w:spacing w:line="400" w:lineRule="exact"/>
        <w:ind w:firstLine="420" w:firstLineChars="200"/>
        <w:rPr>
          <w:rFonts w:ascii="宋体" w:hAnsi="宋体"/>
          <w:kern w:val="0"/>
          <w:szCs w:val="21"/>
        </w:rPr>
      </w:pPr>
      <w:r>
        <w:rPr>
          <w:rFonts w:hint="eastAsia" w:ascii="宋体" w:hAnsi="宋体"/>
          <w:kern w:val="0"/>
          <w:szCs w:val="21"/>
        </w:rPr>
        <w:t>（八）投标人磋商有效期不满足采购文件要求的；</w:t>
      </w:r>
    </w:p>
    <w:p>
      <w:pPr>
        <w:spacing w:line="400" w:lineRule="exact"/>
        <w:ind w:firstLine="420" w:firstLineChars="200"/>
        <w:rPr>
          <w:rFonts w:ascii="宋体" w:hAnsi="宋体"/>
          <w:kern w:val="0"/>
          <w:szCs w:val="21"/>
        </w:rPr>
      </w:pPr>
      <w:r>
        <w:rPr>
          <w:rFonts w:hint="eastAsia" w:ascii="宋体" w:hAnsi="宋体"/>
          <w:kern w:val="0"/>
          <w:szCs w:val="21"/>
        </w:rPr>
        <w:t>（九）投标人响应文件内容有与国家现行法律法规相违背的内容，或附有采购人无法接受的条件；</w:t>
      </w:r>
    </w:p>
    <w:p>
      <w:pPr>
        <w:spacing w:line="400" w:lineRule="exact"/>
        <w:ind w:firstLine="420" w:firstLineChars="200"/>
        <w:rPr>
          <w:rFonts w:ascii="宋体" w:hAnsi="宋体"/>
          <w:kern w:val="0"/>
          <w:szCs w:val="21"/>
        </w:rPr>
      </w:pPr>
      <w:r>
        <w:rPr>
          <w:rFonts w:hint="eastAsia" w:ascii="宋体" w:hAnsi="宋体"/>
          <w:kern w:val="0"/>
          <w:szCs w:val="21"/>
        </w:rPr>
        <w:t>（十）法律、法规和采购文件规定的其他无效情形。</w:t>
      </w:r>
    </w:p>
    <w:bookmarkEnd w:id="9"/>
    <w:bookmarkEnd w:id="10"/>
    <w:p>
      <w:pPr>
        <w:numPr>
          <w:ilvl w:val="0"/>
          <w:numId w:val="4"/>
        </w:numPr>
        <w:spacing w:line="400" w:lineRule="exact"/>
        <w:rPr>
          <w:rFonts w:ascii="宋体" w:hAnsi="宋体"/>
          <w:kern w:val="0"/>
          <w:szCs w:val="21"/>
        </w:rPr>
      </w:pPr>
      <w:bookmarkStart w:id="12" w:name="_Toc31119"/>
      <w:bookmarkStart w:id="13" w:name="_Toc76462336"/>
      <w:bookmarkStart w:id="14" w:name="_Toc10687"/>
      <w:bookmarkStart w:id="15" w:name="_Toc106030891"/>
      <w:r>
        <w:rPr>
          <w:rFonts w:hint="eastAsia" w:ascii="宋体" w:hAnsi="宋体"/>
          <w:kern w:val="0"/>
          <w:szCs w:val="21"/>
        </w:rPr>
        <w:t>采购终止</w:t>
      </w:r>
      <w:bookmarkEnd w:id="12"/>
      <w:bookmarkEnd w:id="13"/>
      <w:bookmarkEnd w:id="14"/>
      <w:bookmarkEnd w:id="15"/>
    </w:p>
    <w:p>
      <w:pPr>
        <w:spacing w:line="400" w:lineRule="exact"/>
        <w:ind w:firstLine="420" w:firstLineChars="200"/>
        <w:rPr>
          <w:rFonts w:ascii="宋体" w:hAnsi="宋体"/>
          <w:kern w:val="0"/>
          <w:szCs w:val="21"/>
        </w:rPr>
      </w:pPr>
      <w:r>
        <w:rPr>
          <w:rFonts w:hint="eastAsia" w:ascii="宋体" w:hAnsi="宋体"/>
          <w:kern w:val="0"/>
          <w:szCs w:val="21"/>
        </w:rPr>
        <w:t>出现下列情形之一的，采购人应当终止采购采购活动，发布项目终止公告并说明原因，重新开展采购活动：</w:t>
      </w:r>
    </w:p>
    <w:p>
      <w:pPr>
        <w:spacing w:line="400" w:lineRule="exact"/>
        <w:ind w:firstLine="420" w:firstLineChars="200"/>
        <w:rPr>
          <w:rFonts w:ascii="宋体" w:hAnsi="宋体"/>
          <w:kern w:val="0"/>
          <w:szCs w:val="21"/>
        </w:rPr>
      </w:pPr>
      <w:r>
        <w:rPr>
          <w:rFonts w:hint="eastAsia" w:ascii="宋体" w:hAnsi="宋体"/>
          <w:kern w:val="0"/>
          <w:szCs w:val="21"/>
        </w:rPr>
        <w:t>（一）因情况变化，不再符合规定的采购采购方式适用情形的；</w:t>
      </w:r>
    </w:p>
    <w:p>
      <w:pPr>
        <w:spacing w:line="400" w:lineRule="exact"/>
        <w:ind w:firstLine="420" w:firstLineChars="200"/>
        <w:rPr>
          <w:rFonts w:ascii="宋体" w:hAnsi="宋体"/>
          <w:kern w:val="0"/>
          <w:szCs w:val="21"/>
        </w:rPr>
      </w:pPr>
      <w:r>
        <w:rPr>
          <w:rFonts w:hint="eastAsia" w:ascii="宋体" w:hAnsi="宋体"/>
          <w:kern w:val="0"/>
          <w:szCs w:val="21"/>
        </w:rPr>
        <w:t>（二）出现影响采购公正的违法、违规行为的；</w:t>
      </w:r>
    </w:p>
    <w:p>
      <w:pPr>
        <w:spacing w:line="400" w:lineRule="exact"/>
        <w:ind w:firstLine="420" w:firstLineChars="200"/>
        <w:rPr>
          <w:rFonts w:ascii="宋体" w:hAnsi="宋体"/>
          <w:kern w:val="0"/>
          <w:szCs w:val="21"/>
        </w:rPr>
      </w:pPr>
      <w:r>
        <w:rPr>
          <w:rFonts w:hint="eastAsia" w:ascii="宋体" w:hAnsi="宋体"/>
          <w:kern w:val="0"/>
          <w:szCs w:val="21"/>
        </w:rPr>
        <w:t>（三）在采购过程中符合要求的投标人或者报价未超过采购预算的投标人不足3家的；</w:t>
      </w:r>
    </w:p>
    <w:p>
      <w:pPr>
        <w:spacing w:line="400" w:lineRule="exact"/>
        <w:ind w:firstLine="420" w:firstLineChars="200"/>
        <w:rPr>
          <w:rFonts w:ascii="宋体" w:hAnsi="宋体"/>
          <w:kern w:val="0"/>
          <w:szCs w:val="21"/>
        </w:rPr>
      </w:pPr>
      <w:r>
        <w:rPr>
          <w:rFonts w:hint="eastAsia" w:ascii="宋体" w:hAnsi="宋体"/>
          <w:kern w:val="0"/>
          <w:szCs w:val="21"/>
        </w:rPr>
        <w:t>（四）采购任务变更或取消的。</w:t>
      </w:r>
    </w:p>
    <w:p>
      <w:pPr>
        <w:spacing w:line="580" w:lineRule="exact"/>
        <w:rPr>
          <w:rFonts w:ascii="宋体" w:hAnsi="宋体"/>
          <w:sz w:val="28"/>
          <w:szCs w:val="28"/>
        </w:rPr>
      </w:pPr>
      <w:r>
        <w:rPr>
          <w:rFonts w:hint="eastAsia" w:ascii="宋体" w:hAnsi="宋体"/>
          <w:b/>
          <w:sz w:val="28"/>
          <w:szCs w:val="28"/>
        </w:rPr>
        <w:t>四、响应文件的组成（详见附件1）</w:t>
      </w:r>
    </w:p>
    <w:p>
      <w:pPr>
        <w:spacing w:line="580" w:lineRule="exact"/>
        <w:ind w:left="420" w:leftChars="200" w:firstLine="525" w:firstLineChars="250"/>
        <w:rPr>
          <w:rFonts w:ascii="宋体" w:hAnsi="宋体"/>
          <w:szCs w:val="21"/>
        </w:rPr>
      </w:pPr>
      <w:r>
        <w:rPr>
          <w:rFonts w:hint="eastAsia" w:ascii="宋体" w:hAnsi="宋体"/>
          <w:szCs w:val="21"/>
        </w:rPr>
        <w:t>（一）产品明细报价表</w:t>
      </w:r>
    </w:p>
    <w:p>
      <w:pPr>
        <w:spacing w:line="580" w:lineRule="exact"/>
        <w:ind w:left="420" w:leftChars="200" w:firstLine="525" w:firstLineChars="250"/>
        <w:rPr>
          <w:rFonts w:ascii="宋体" w:hAnsi="宋体"/>
          <w:szCs w:val="21"/>
        </w:rPr>
      </w:pPr>
      <w:r>
        <w:rPr>
          <w:rFonts w:hint="eastAsia" w:ascii="宋体" w:hAnsi="宋体"/>
          <w:szCs w:val="21"/>
        </w:rPr>
        <w:t>（二）技术需求响应表</w:t>
      </w:r>
    </w:p>
    <w:p>
      <w:pPr>
        <w:spacing w:line="580" w:lineRule="exact"/>
        <w:ind w:left="420" w:leftChars="200" w:firstLine="525" w:firstLineChars="250"/>
        <w:rPr>
          <w:rFonts w:ascii="宋体" w:hAnsi="宋体"/>
          <w:szCs w:val="21"/>
        </w:rPr>
      </w:pPr>
      <w:r>
        <w:rPr>
          <w:rFonts w:hint="eastAsia" w:ascii="宋体" w:hAnsi="宋体"/>
          <w:szCs w:val="21"/>
        </w:rPr>
        <w:t>（三）商务需求响应表</w:t>
      </w:r>
    </w:p>
    <w:p>
      <w:pPr>
        <w:spacing w:line="580" w:lineRule="exact"/>
        <w:ind w:left="420" w:leftChars="200" w:firstLine="525" w:firstLineChars="250"/>
        <w:rPr>
          <w:rFonts w:ascii="宋体" w:hAnsi="宋体"/>
          <w:szCs w:val="21"/>
        </w:rPr>
      </w:pPr>
      <w:r>
        <w:rPr>
          <w:rFonts w:hint="eastAsia" w:ascii="宋体" w:hAnsi="宋体"/>
          <w:szCs w:val="21"/>
        </w:rPr>
        <w:t>（四）资格条件</w:t>
      </w:r>
    </w:p>
    <w:p>
      <w:pPr>
        <w:spacing w:line="580" w:lineRule="exact"/>
        <w:ind w:left="420" w:leftChars="200" w:firstLine="525" w:firstLineChars="250"/>
        <w:rPr>
          <w:rFonts w:ascii="宋体" w:hAnsi="宋体"/>
          <w:szCs w:val="21"/>
        </w:rPr>
      </w:pPr>
      <w:r>
        <w:rPr>
          <w:rFonts w:hint="eastAsia" w:ascii="宋体" w:hAnsi="宋体"/>
          <w:szCs w:val="21"/>
        </w:rPr>
        <w:t>（五）其他与项目有关的资料</w:t>
      </w:r>
    </w:p>
    <w:p>
      <w:pPr>
        <w:spacing w:line="580" w:lineRule="exact"/>
        <w:rPr>
          <w:rFonts w:ascii="宋体" w:hAnsi="宋体"/>
          <w:b/>
          <w:sz w:val="28"/>
          <w:szCs w:val="28"/>
        </w:rPr>
      </w:pPr>
      <w:r>
        <w:rPr>
          <w:rFonts w:hint="eastAsia" w:ascii="宋体" w:hAnsi="宋体"/>
          <w:b/>
          <w:sz w:val="28"/>
          <w:szCs w:val="28"/>
        </w:rPr>
        <w:t>五、文件的式样和签署</w:t>
      </w:r>
    </w:p>
    <w:p>
      <w:pPr>
        <w:spacing w:line="580" w:lineRule="exact"/>
        <w:ind w:left="420"/>
        <w:rPr>
          <w:rFonts w:ascii="宋体" w:hAnsi="宋体"/>
          <w:szCs w:val="21"/>
        </w:rPr>
      </w:pPr>
      <w:r>
        <w:rPr>
          <w:rFonts w:hint="eastAsia" w:ascii="宋体" w:hAnsi="宋体"/>
          <w:szCs w:val="21"/>
        </w:rPr>
        <w:t xml:space="preserve">  1.响应文件需提交</w:t>
      </w:r>
      <w:r>
        <w:rPr>
          <w:rFonts w:ascii="宋体" w:hAnsi="宋体"/>
          <w:b/>
          <w:szCs w:val="21"/>
        </w:rPr>
        <w:t>一正</w:t>
      </w:r>
      <w:r>
        <w:rPr>
          <w:rFonts w:hint="eastAsia" w:ascii="宋体" w:hAnsi="宋体"/>
          <w:b/>
          <w:szCs w:val="21"/>
        </w:rPr>
        <w:t>一副</w:t>
      </w:r>
      <w:r>
        <w:rPr>
          <w:rFonts w:hint="eastAsia" w:ascii="宋体" w:hAnsi="宋体"/>
          <w:szCs w:val="21"/>
        </w:rPr>
        <w:t>；并在投标文件封面分别注明“正本”和“副本”字样。</w:t>
      </w:r>
    </w:p>
    <w:p>
      <w:pPr>
        <w:spacing w:line="580" w:lineRule="exact"/>
        <w:ind w:left="420"/>
        <w:rPr>
          <w:rFonts w:ascii="宋体" w:hAnsi="宋体"/>
          <w:szCs w:val="21"/>
        </w:rPr>
      </w:pPr>
      <w:r>
        <w:rPr>
          <w:rFonts w:hint="eastAsia" w:ascii="宋体" w:hAnsi="宋体"/>
          <w:szCs w:val="21"/>
        </w:rPr>
        <w:t xml:space="preserve">  2.响应文件的装订应按照招标文件要求的</w:t>
      </w:r>
      <w:r>
        <w:rPr>
          <w:rFonts w:hint="eastAsia" w:ascii="宋体" w:hAnsi="宋体"/>
          <w:color w:val="FF0000"/>
          <w:szCs w:val="21"/>
        </w:rPr>
        <w:t>顺序装订</w:t>
      </w:r>
      <w:r>
        <w:rPr>
          <w:rFonts w:hint="eastAsia" w:ascii="宋体" w:hAnsi="宋体"/>
          <w:szCs w:val="21"/>
        </w:rPr>
        <w:t>并</w:t>
      </w:r>
      <w:r>
        <w:rPr>
          <w:rFonts w:hint="eastAsia" w:ascii="宋体" w:hAnsi="宋体"/>
          <w:color w:val="FF0000"/>
          <w:szCs w:val="21"/>
        </w:rPr>
        <w:t>加盖投标企业骑缝章</w:t>
      </w:r>
      <w:r>
        <w:rPr>
          <w:rFonts w:hint="eastAsia" w:ascii="宋体" w:hAnsi="宋体"/>
          <w:szCs w:val="21"/>
        </w:rPr>
        <w:t>。</w:t>
      </w:r>
    </w:p>
    <w:p>
      <w:pPr>
        <w:spacing w:line="580" w:lineRule="exact"/>
        <w:ind w:left="420"/>
        <w:rPr>
          <w:rFonts w:ascii="宋体" w:hAnsi="宋体"/>
          <w:szCs w:val="21"/>
        </w:rPr>
      </w:pPr>
      <w:r>
        <w:rPr>
          <w:rFonts w:hint="eastAsia" w:ascii="宋体" w:hAnsi="宋体"/>
          <w:szCs w:val="21"/>
        </w:rPr>
        <w:t xml:space="preserve">  3.除投标人对差错处做必要修改外，投标书不得行间插字、涂改和增删，如有修改错漏处，必须由投标人代表在修改处签字或盖章。</w:t>
      </w: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rPr>
          <w:rFonts w:hint="eastAsia" w:ascii="方正仿宋_GBK" w:hAnsi="宋体" w:eastAsia="方正仿宋_GBK"/>
        </w:rPr>
      </w:pPr>
      <w:r>
        <w:rPr>
          <w:rFonts w:hint="eastAsia" w:ascii="方正仿宋_GBK" w:hAnsi="宋体" w:eastAsia="方正仿宋_GBK"/>
        </w:rPr>
        <w:br w:type="page"/>
      </w:r>
    </w:p>
    <w:p>
      <w:pPr>
        <w:tabs>
          <w:tab w:val="left" w:pos="6300"/>
        </w:tabs>
        <w:snapToGrid w:val="0"/>
        <w:spacing w:line="400" w:lineRule="exact"/>
        <w:rPr>
          <w:rFonts w:ascii="方正仿宋_GBK" w:hAnsi="宋体" w:eastAsia="方正仿宋_GBK"/>
        </w:rPr>
      </w:pPr>
      <w:r>
        <w:rPr>
          <w:rFonts w:hint="eastAsia" w:ascii="方正仿宋_GBK" w:hAnsi="宋体" w:eastAsia="方正仿宋_GBK"/>
        </w:rPr>
        <w:t xml:space="preserve">附件1： </w:t>
      </w:r>
    </w:p>
    <w:p>
      <w:pPr>
        <w:tabs>
          <w:tab w:val="left" w:pos="6300"/>
        </w:tabs>
        <w:snapToGrid w:val="0"/>
        <w:spacing w:line="400" w:lineRule="exact"/>
        <w:rPr>
          <w:rFonts w:ascii="方正仿宋_GBK" w:hAnsi="宋体" w:eastAsia="方正仿宋_GBK"/>
        </w:rPr>
      </w:pPr>
    </w:p>
    <w:p>
      <w:pPr>
        <w:spacing w:line="1600" w:lineRule="exact"/>
        <w:jc w:val="center"/>
        <w:outlineLvl w:val="0"/>
        <w:rPr>
          <w:rFonts w:ascii="方正黑体_GBK" w:hAnsi="宋体" w:eastAsia="方正黑体_GBK"/>
          <w:sz w:val="130"/>
          <w:szCs w:val="130"/>
        </w:rPr>
      </w:pPr>
    </w:p>
    <w:p>
      <w:pPr>
        <w:spacing w:line="1600" w:lineRule="exact"/>
        <w:jc w:val="center"/>
        <w:outlineLvl w:val="0"/>
        <w:rPr>
          <w:rFonts w:ascii="方正黑体_GBK" w:hAnsi="宋体" w:eastAsia="方正黑体_GBK"/>
          <w:sz w:val="130"/>
          <w:szCs w:val="130"/>
        </w:rPr>
      </w:pPr>
    </w:p>
    <w:p>
      <w:pPr>
        <w:spacing w:line="1600" w:lineRule="exact"/>
        <w:jc w:val="center"/>
        <w:outlineLvl w:val="0"/>
        <w:rPr>
          <w:rFonts w:ascii="方正黑体_GBK" w:hAnsi="宋体" w:eastAsia="方正黑体_GBK"/>
          <w:sz w:val="130"/>
          <w:szCs w:val="130"/>
        </w:rPr>
      </w:pPr>
      <w:r>
        <w:rPr>
          <w:rFonts w:hint="eastAsia" w:ascii="方正黑体_GBK" w:hAnsi="宋体" w:eastAsia="方正黑体_GBK"/>
          <w:sz w:val="130"/>
          <w:szCs w:val="130"/>
        </w:rPr>
        <w:t>响应文件</w:t>
      </w:r>
    </w:p>
    <w:p>
      <w:pPr>
        <w:spacing w:line="600" w:lineRule="exact"/>
        <w:jc w:val="center"/>
        <w:outlineLvl w:val="0"/>
        <w:rPr>
          <w:rFonts w:ascii="方正黑体_GBK" w:hAnsi="宋体" w:eastAsia="方正黑体_GBK"/>
          <w:sz w:val="44"/>
          <w:szCs w:val="44"/>
        </w:rPr>
      </w:pPr>
      <w:r>
        <w:rPr>
          <w:rFonts w:hint="eastAsia" w:ascii="方正黑体_GBK" w:hAnsi="宋体" w:eastAsia="方正黑体_GBK"/>
          <w:sz w:val="44"/>
          <w:szCs w:val="44"/>
        </w:rPr>
        <w:t>（正本/副本）</w:t>
      </w:r>
    </w:p>
    <w:p>
      <w:pPr>
        <w:spacing w:line="700" w:lineRule="exact"/>
        <w:rPr>
          <w:rFonts w:ascii="方正黑体_GBK" w:eastAsia="方正黑体_GBK"/>
          <w:spacing w:val="80"/>
          <w:sz w:val="130"/>
          <w:szCs w:val="130"/>
        </w:rPr>
      </w:pPr>
    </w:p>
    <w:p>
      <w:pPr>
        <w:spacing w:line="700" w:lineRule="exact"/>
        <w:jc w:val="center"/>
        <w:rPr>
          <w:rFonts w:ascii="方正黑体_GBK" w:eastAsia="方正黑体_GBK"/>
          <w:spacing w:val="80"/>
          <w:sz w:val="130"/>
          <w:szCs w:val="130"/>
        </w:rPr>
      </w:pPr>
    </w:p>
    <w:p>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项目编号：</w:t>
      </w:r>
    </w:p>
    <w:p>
      <w:pPr>
        <w:spacing w:line="360" w:lineRule="auto"/>
        <w:ind w:firstLine="1080" w:firstLineChars="300"/>
        <w:outlineLvl w:val="0"/>
        <w:rPr>
          <w:rFonts w:ascii="方正小标宋_GBK" w:hAnsi="宋体" w:eastAsia="方正小标宋_GBK"/>
          <w:sz w:val="36"/>
          <w:szCs w:val="36"/>
          <w:u w:val="single"/>
        </w:rPr>
      </w:pPr>
      <w:r>
        <w:rPr>
          <w:rFonts w:hint="eastAsia" w:ascii="方正小标宋_GBK" w:hAnsi="宋体" w:eastAsia="方正小标宋_GBK"/>
          <w:sz w:val="36"/>
          <w:szCs w:val="36"/>
        </w:rPr>
        <w:t>项目名称：</w:t>
      </w:r>
    </w:p>
    <w:p>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投标人名称：</w:t>
      </w:r>
    </w:p>
    <w:p>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 xml:space="preserve">投标人法定代表人（或授权代理人）： </w:t>
      </w:r>
    </w:p>
    <w:p>
      <w:pPr>
        <w:spacing w:line="360" w:lineRule="auto"/>
        <w:ind w:firstLine="1080" w:firstLineChars="300"/>
        <w:jc w:val="left"/>
        <w:outlineLvl w:val="0"/>
        <w:rPr>
          <w:rFonts w:ascii="方正小标宋_GBK" w:hAnsi="宋体" w:eastAsia="方正小标宋_GBK"/>
          <w:b/>
          <w:sz w:val="36"/>
          <w:szCs w:val="36"/>
        </w:rPr>
      </w:pPr>
      <w:r>
        <w:rPr>
          <w:rFonts w:hint="eastAsia" w:ascii="方正小标宋_GBK" w:hAnsi="宋体" w:eastAsia="方正小标宋_GBK"/>
          <w:sz w:val="36"/>
          <w:szCs w:val="36"/>
        </w:rPr>
        <w:t>联系电话：</w:t>
      </w:r>
    </w:p>
    <w:p>
      <w:pPr>
        <w:spacing w:line="700" w:lineRule="exact"/>
        <w:ind w:firstLine="1749" w:firstLineChars="486"/>
        <w:rPr>
          <w:rFonts w:ascii="方正小标宋_GBK" w:hAnsi="宋体" w:eastAsia="方正小标宋_GBK"/>
          <w:sz w:val="36"/>
          <w:szCs w:val="36"/>
        </w:rPr>
      </w:pPr>
    </w:p>
    <w:p>
      <w:pPr>
        <w:ind w:firstLine="2520" w:firstLineChars="700"/>
        <w:outlineLvl w:val="0"/>
        <w:rPr>
          <w:rFonts w:ascii="宋体" w:hAnsi="宋体"/>
          <w:sz w:val="72"/>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cols w:space="720" w:num="1"/>
          <w:titlePg/>
          <w:docGrid w:linePitch="380" w:charSpace="-5735"/>
        </w:sectPr>
      </w:pPr>
      <w:r>
        <w:rPr>
          <w:rFonts w:eastAsia="方正小标宋_GBK"/>
          <w:sz w:val="36"/>
          <w:szCs w:val="36"/>
        </w:rPr>
        <w:t>二〇二</w:t>
      </w:r>
      <w:r>
        <w:rPr>
          <w:rFonts w:hint="eastAsia" w:eastAsia="方正小标宋_GBK"/>
          <w:sz w:val="36"/>
          <w:szCs w:val="36"/>
        </w:rPr>
        <w:t>X</w:t>
      </w:r>
      <w:r>
        <w:rPr>
          <w:rFonts w:eastAsia="方正小标宋_GBK"/>
          <w:sz w:val="36"/>
          <w:szCs w:val="36"/>
        </w:rPr>
        <w:t>年</w:t>
      </w:r>
      <w:r>
        <w:rPr>
          <w:rFonts w:hint="eastAsia" w:eastAsia="方正小标宋_GBK"/>
          <w:sz w:val="36"/>
          <w:szCs w:val="36"/>
        </w:rPr>
        <w:t>X月X日</w:t>
      </w:r>
    </w:p>
    <w:p>
      <w:pPr>
        <w:tabs>
          <w:tab w:val="left" w:pos="6300"/>
        </w:tabs>
        <w:snapToGrid w:val="0"/>
        <w:spacing w:line="400" w:lineRule="exact"/>
        <w:rPr>
          <w:rFonts w:ascii="方正仿宋_GBK" w:hAnsi="宋体" w:eastAsia="方正仿宋_GBK"/>
          <w:color w:val="FF0000"/>
          <w:sz w:val="24"/>
        </w:rPr>
      </w:pPr>
      <w:r>
        <w:rPr>
          <w:rFonts w:hint="eastAsia" w:ascii="方正仿宋_GBK" w:hAnsi="宋体" w:eastAsia="方正仿宋_GBK"/>
          <w:sz w:val="24"/>
        </w:rPr>
        <w:t>一、产品报价明细表</w:t>
      </w:r>
      <w:r>
        <w:rPr>
          <w:rFonts w:hint="eastAsia" w:ascii="方正仿宋_GBK" w:hAnsi="宋体" w:eastAsia="方正仿宋_GBK"/>
          <w:color w:val="FF0000"/>
          <w:sz w:val="24"/>
        </w:rPr>
        <w:t>（按报价明细模板填写）</w:t>
      </w:r>
    </w:p>
    <w:p>
      <w:pPr>
        <w:tabs>
          <w:tab w:val="left" w:pos="6300"/>
        </w:tabs>
        <w:snapToGrid w:val="0"/>
        <w:spacing w:line="400" w:lineRule="exact"/>
        <w:rPr>
          <w:rFonts w:ascii="方正仿宋_GBK" w:hAnsi="宋体" w:eastAsia="方正仿宋_GBK"/>
          <w:szCs w:val="21"/>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pStyle w:val="18"/>
        <w:tabs>
          <w:tab w:val="left" w:pos="6300"/>
        </w:tabs>
        <w:snapToGrid w:val="0"/>
        <w:spacing w:line="400" w:lineRule="exact"/>
        <w:ind w:left="480" w:firstLine="0" w:firstLineChars="0"/>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tabs>
          <w:tab w:val="left" w:pos="6300"/>
        </w:tabs>
        <w:snapToGrid w:val="0"/>
        <w:spacing w:line="400" w:lineRule="exact"/>
        <w:rPr>
          <w:rFonts w:ascii="方正仿宋_GBK" w:hAnsi="宋体" w:eastAsia="方正仿宋_GBK"/>
        </w:rPr>
      </w:pPr>
    </w:p>
    <w:p>
      <w:pPr>
        <w:pStyle w:val="18"/>
        <w:numPr>
          <w:ilvl w:val="0"/>
          <w:numId w:val="5"/>
        </w:numPr>
        <w:tabs>
          <w:tab w:val="left" w:pos="6300"/>
        </w:tabs>
        <w:snapToGrid w:val="0"/>
        <w:spacing w:line="400" w:lineRule="exact"/>
        <w:ind w:firstLineChars="0"/>
        <w:rPr>
          <w:rFonts w:ascii="方正仿宋_GBK" w:hAnsi="宋体" w:eastAsia="方正仿宋_GBK"/>
        </w:rPr>
      </w:pPr>
      <w:r>
        <w:rPr>
          <w:rFonts w:hint="eastAsia" w:ascii="方正仿宋_GBK" w:hAnsi="宋体" w:eastAsia="方正仿宋_GBK"/>
          <w:sz w:val="24"/>
        </w:rPr>
        <w:t>技术需求响应表</w:t>
      </w:r>
    </w:p>
    <w:p>
      <w:pPr>
        <w:spacing w:line="400" w:lineRule="exact"/>
        <w:rPr>
          <w:rFonts w:ascii="方正仿宋_GBK" w:hAnsi="宋体" w:eastAsia="方正仿宋_GBK"/>
          <w:sz w:val="24"/>
        </w:rPr>
      </w:pPr>
      <w:r>
        <w:rPr>
          <w:rFonts w:hint="eastAsia" w:ascii="方正仿宋_GBK" w:hAnsi="宋体" w:eastAsia="方正仿宋_GBK"/>
          <w:sz w:val="24"/>
        </w:rPr>
        <w:t xml:space="preserve">                              </w:t>
      </w:r>
    </w:p>
    <w:tbl>
      <w:tblPr>
        <w:tblStyle w:val="11"/>
        <w:tblW w:w="0" w:type="auto"/>
        <w:tblInd w:w="103" w:type="dxa"/>
        <w:tblLayout w:type="autofit"/>
        <w:tblCellMar>
          <w:top w:w="0" w:type="dxa"/>
          <w:left w:w="108" w:type="dxa"/>
          <w:bottom w:w="0" w:type="dxa"/>
          <w:right w:w="108" w:type="dxa"/>
        </w:tblCellMar>
      </w:tblPr>
      <w:tblGrid>
        <w:gridCol w:w="2720"/>
        <w:gridCol w:w="791"/>
        <w:gridCol w:w="1028"/>
        <w:gridCol w:w="791"/>
        <w:gridCol w:w="1722"/>
        <w:gridCol w:w="1367"/>
      </w:tblGrid>
      <w:tr>
        <w:tblPrEx>
          <w:tblCellMar>
            <w:top w:w="0" w:type="dxa"/>
            <w:left w:w="108" w:type="dxa"/>
            <w:bottom w:w="0" w:type="dxa"/>
            <w:right w:w="108" w:type="dxa"/>
          </w:tblCellMar>
        </w:tblPrEx>
        <w:trPr>
          <w:trHeight w:val="123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微软雅黑" w:hAnsi="微软雅黑" w:eastAsia="微软雅黑" w:cs="宋体"/>
                <w:b/>
                <w:bCs/>
                <w:kern w:val="0"/>
                <w:sz w:val="22"/>
                <w:szCs w:val="22"/>
              </w:rPr>
            </w:pPr>
            <w:r>
              <w:rPr>
                <w:rFonts w:hint="eastAsia" w:ascii="微软雅黑" w:hAnsi="微软雅黑" w:eastAsia="微软雅黑" w:cs="宋体"/>
                <w:b/>
                <w:bCs/>
                <w:kern w:val="0"/>
                <w:sz w:val="22"/>
                <w:szCs w:val="22"/>
              </w:rPr>
              <w:t xml:space="preserve">序号     </w:t>
            </w:r>
            <w:r>
              <w:rPr>
                <w:rFonts w:hint="eastAsia" w:ascii="微软雅黑" w:hAnsi="微软雅黑" w:eastAsia="微软雅黑" w:cs="宋体"/>
                <w:b/>
                <w:bCs/>
                <w:color w:val="FF0000"/>
                <w:kern w:val="0"/>
                <w:sz w:val="22"/>
                <w:szCs w:val="22"/>
              </w:rPr>
              <w:t xml:space="preserve">（不得改变投标产品对应序号 ）    </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kern w:val="0"/>
                <w:sz w:val="22"/>
                <w:szCs w:val="22"/>
              </w:rPr>
            </w:pPr>
            <w:r>
              <w:rPr>
                <w:rFonts w:hint="eastAsia" w:ascii="微软雅黑" w:hAnsi="微软雅黑" w:eastAsia="微软雅黑" w:cs="宋体"/>
                <w:b/>
                <w:bCs/>
                <w:kern w:val="0"/>
                <w:sz w:val="22"/>
                <w:szCs w:val="22"/>
              </w:rPr>
              <w:t>产品名称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kern w:val="0"/>
                <w:sz w:val="22"/>
                <w:szCs w:val="22"/>
              </w:rPr>
            </w:pPr>
            <w:r>
              <w:rPr>
                <w:rFonts w:hint="eastAsia" w:ascii="微软雅黑" w:hAnsi="微软雅黑" w:eastAsia="微软雅黑" w:cs="宋体"/>
                <w:b/>
                <w:bCs/>
                <w:kern w:val="0"/>
                <w:sz w:val="22"/>
                <w:szCs w:val="22"/>
              </w:rPr>
              <w:t>技术参数需求</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是否响应</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具体响应的位置（页码）</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差异说明（如有）</w:t>
            </w:r>
          </w:p>
        </w:tc>
      </w:tr>
      <w:tr>
        <w:tblPrEx>
          <w:tblCellMar>
            <w:top w:w="0" w:type="dxa"/>
            <w:left w:w="108" w:type="dxa"/>
            <w:bottom w:w="0" w:type="dxa"/>
            <w:right w:w="108" w:type="dxa"/>
          </w:tblCellMar>
        </w:tblPrEx>
        <w:trPr>
          <w:trHeight w:val="70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54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855" w:hRule="atLeast"/>
        </w:trPr>
        <w:tc>
          <w:tcPr>
            <w:tcW w:w="0" w:type="auto"/>
            <w:tcBorders>
              <w:top w:val="nil"/>
              <w:left w:val="single" w:color="auto" w:sz="4" w:space="0"/>
              <w:bottom w:val="nil"/>
              <w:right w:val="single" w:color="auto" w:sz="4" w:space="0"/>
            </w:tcBorders>
            <w:shd w:val="clear" w:color="auto" w:fill="auto"/>
            <w:noWrap/>
            <w:vAlign w:val="center"/>
          </w:tcPr>
          <w:p>
            <w:pPr>
              <w:widowControl/>
              <w:jc w:val="center"/>
              <w:rPr>
                <w:rFonts w:ascii="宋体" w:hAnsi="宋体" w:cs="宋体"/>
                <w:kern w:val="0"/>
                <w:sz w:val="22"/>
                <w:szCs w:val="22"/>
              </w:rPr>
            </w:pPr>
            <w:r>
              <w:rPr>
                <w:rFonts w:hint="eastAsia" w:ascii="宋体" w:hAnsi="宋体" w:cs="宋体"/>
                <w:kern w:val="0"/>
                <w:sz w:val="22"/>
                <w:szCs w:val="22"/>
              </w:rPr>
              <w:t>3</w:t>
            </w:r>
          </w:p>
        </w:tc>
        <w:tc>
          <w:tcPr>
            <w:tcW w:w="0" w:type="auto"/>
            <w:tcBorders>
              <w:top w:val="nil"/>
              <w:left w:val="nil"/>
              <w:bottom w:val="nil"/>
              <w:right w:val="single" w:color="auto" w:sz="4" w:space="0"/>
            </w:tcBorders>
            <w:shd w:val="clear" w:color="auto" w:fill="auto"/>
            <w:vAlign w:val="center"/>
          </w:tcPr>
          <w:p>
            <w:pPr>
              <w:widowControl/>
              <w:jc w:val="center"/>
              <w:rPr>
                <w:rFonts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vAlign w:val="center"/>
          </w:tcPr>
          <w:p>
            <w:pPr>
              <w:widowControl/>
              <w:jc w:val="left"/>
              <w:rPr>
                <w:rFonts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nil"/>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nil"/>
              <w:right w:val="single" w:color="auto" w:sz="4" w:space="0"/>
            </w:tcBorders>
            <w:shd w:val="clear" w:color="auto" w:fill="auto"/>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tblPrEx>
          <w:tblCellMar>
            <w:top w:w="0" w:type="dxa"/>
            <w:left w:w="108" w:type="dxa"/>
            <w:bottom w:w="0" w:type="dxa"/>
            <w:right w:w="108" w:type="dxa"/>
          </w:tblCellMar>
        </w:tblPrEx>
        <w:trPr>
          <w:trHeight w:val="855" w:hRule="atLeast"/>
        </w:trPr>
        <w:tc>
          <w:tcPr>
            <w:tcW w:w="0" w:type="auto"/>
            <w:tcBorders>
              <w:top w:val="nil"/>
              <w:left w:val="single" w:color="auto" w:sz="4" w:space="0"/>
              <w:bottom w:val="nil"/>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rPr>
            </w:pPr>
            <w:r>
              <w:rPr>
                <w:rFonts w:hint="eastAsia" w:ascii="宋体" w:hAnsi="宋体" w:cs="宋体"/>
                <w:kern w:val="0"/>
                <w:sz w:val="22"/>
                <w:szCs w:val="22"/>
                <w:lang w:val="en-US" w:eastAsia="zh-CN"/>
              </w:rPr>
              <w:t>4</w:t>
            </w:r>
          </w:p>
        </w:tc>
        <w:tc>
          <w:tcPr>
            <w:tcW w:w="0" w:type="auto"/>
            <w:tcBorders>
              <w:top w:val="nil"/>
              <w:left w:val="nil"/>
              <w:bottom w:val="nil"/>
              <w:right w:val="single" w:color="auto" w:sz="4" w:space="0"/>
            </w:tcBorders>
            <w:shd w:val="clear" w:color="auto" w:fill="auto"/>
            <w:vAlign w:val="center"/>
          </w:tcPr>
          <w:p>
            <w:pPr>
              <w:widowControl/>
              <w:jc w:val="center"/>
              <w:rPr>
                <w:rFonts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vAlign w:val="center"/>
          </w:tcPr>
          <w:p>
            <w:pPr>
              <w:widowControl/>
              <w:jc w:val="left"/>
              <w:rPr>
                <w:rFonts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855" w:hRule="atLeast"/>
        </w:trPr>
        <w:tc>
          <w:tcPr>
            <w:tcW w:w="0" w:type="auto"/>
            <w:tcBorders>
              <w:top w:val="nil"/>
              <w:left w:val="single" w:color="auto" w:sz="4" w:space="0"/>
              <w:bottom w:val="nil"/>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rPr>
            </w:pPr>
            <w:r>
              <w:rPr>
                <w:rFonts w:hint="eastAsia" w:ascii="宋体" w:hAnsi="宋体" w:cs="宋体"/>
                <w:kern w:val="0"/>
                <w:sz w:val="22"/>
                <w:szCs w:val="22"/>
                <w:lang w:val="en-US" w:eastAsia="zh-CN"/>
              </w:rPr>
              <w:t>5</w:t>
            </w:r>
          </w:p>
        </w:tc>
        <w:tc>
          <w:tcPr>
            <w:tcW w:w="0" w:type="auto"/>
            <w:tcBorders>
              <w:top w:val="nil"/>
              <w:left w:val="nil"/>
              <w:bottom w:val="nil"/>
              <w:right w:val="single" w:color="auto" w:sz="4" w:space="0"/>
            </w:tcBorders>
            <w:shd w:val="clear" w:color="auto" w:fill="auto"/>
            <w:vAlign w:val="center"/>
          </w:tcPr>
          <w:p>
            <w:pPr>
              <w:widowControl/>
              <w:jc w:val="center"/>
              <w:rPr>
                <w:rFonts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vAlign w:val="center"/>
          </w:tcPr>
          <w:p>
            <w:pPr>
              <w:widowControl/>
              <w:jc w:val="left"/>
              <w:rPr>
                <w:rFonts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855" w:hRule="atLeast"/>
        </w:trPr>
        <w:tc>
          <w:tcPr>
            <w:tcW w:w="0" w:type="auto"/>
            <w:tcBorders>
              <w:top w:val="nil"/>
              <w:left w:val="single" w:color="auto" w:sz="4" w:space="0"/>
              <w:bottom w:val="nil"/>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rPr>
            </w:pPr>
            <w:r>
              <w:rPr>
                <w:rFonts w:hint="eastAsia" w:ascii="宋体" w:hAnsi="宋体" w:cs="宋体"/>
                <w:kern w:val="0"/>
                <w:sz w:val="22"/>
                <w:szCs w:val="22"/>
                <w:lang w:val="en-US" w:eastAsia="zh-CN"/>
              </w:rPr>
              <w:t>6</w:t>
            </w:r>
          </w:p>
        </w:tc>
        <w:tc>
          <w:tcPr>
            <w:tcW w:w="0" w:type="auto"/>
            <w:tcBorders>
              <w:top w:val="nil"/>
              <w:left w:val="nil"/>
              <w:bottom w:val="nil"/>
              <w:right w:val="single" w:color="auto" w:sz="4" w:space="0"/>
            </w:tcBorders>
            <w:shd w:val="clear" w:color="auto" w:fill="auto"/>
            <w:vAlign w:val="center"/>
          </w:tcPr>
          <w:p>
            <w:pPr>
              <w:widowControl/>
              <w:jc w:val="center"/>
              <w:rPr>
                <w:rFonts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vAlign w:val="center"/>
          </w:tcPr>
          <w:p>
            <w:pPr>
              <w:widowControl/>
              <w:jc w:val="left"/>
              <w:rPr>
                <w:rFonts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c>
          <w:tcPr>
            <w:tcW w:w="0" w:type="auto"/>
            <w:tcBorders>
              <w:top w:val="nil"/>
              <w:left w:val="nil"/>
              <w:bottom w:val="nil"/>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85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rPr>
            </w:pPr>
            <w:r>
              <w:rPr>
                <w:rFonts w:hint="eastAsia" w:ascii="宋体" w:hAnsi="宋体" w:cs="宋体"/>
                <w:kern w:val="0"/>
                <w:sz w:val="22"/>
                <w:szCs w:val="22"/>
                <w:lang w:val="en-US" w:eastAsia="zh-CN"/>
              </w:rPr>
              <w:t>7</w:t>
            </w:r>
            <w:bookmarkStart w:id="23" w:name="_GoBack"/>
            <w:bookmarkEnd w:id="23"/>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cs="宋体"/>
                <w:color w:val="000000"/>
                <w:kern w:val="0"/>
                <w:sz w:val="22"/>
                <w:szCs w:val="22"/>
              </w:rPr>
            </w:pPr>
          </w:p>
        </w:tc>
      </w:tr>
    </w:tbl>
    <w:p>
      <w:pPr>
        <w:tabs>
          <w:tab w:val="left" w:pos="6300"/>
        </w:tabs>
        <w:snapToGrid w:val="0"/>
        <w:spacing w:line="500" w:lineRule="exact"/>
        <w:rPr>
          <w:rFonts w:ascii="方正仿宋_GBK" w:hAnsi="仿宋" w:eastAsia="方正仿宋_GBK"/>
          <w:sz w:val="24"/>
        </w:rPr>
      </w:pPr>
      <w:r>
        <w:rPr>
          <w:rFonts w:hint="eastAsia" w:ascii="方正仿宋_GBK" w:hAnsi="宋体" w:eastAsia="方正仿宋_GBK"/>
          <w:sz w:val="24"/>
        </w:rPr>
        <w:t>注：</w:t>
      </w:r>
      <w:bookmarkStart w:id="16" w:name="_Toc26948"/>
      <w:bookmarkStart w:id="17" w:name="_Toc106030909"/>
      <w:bookmarkStart w:id="18" w:name="_Toc16937"/>
      <w:bookmarkStart w:id="19" w:name="_Toc342913422"/>
      <w:bookmarkStart w:id="20" w:name="_Toc313888363"/>
      <w:bookmarkStart w:id="21" w:name="_Toc76462353"/>
      <w:bookmarkStart w:id="22" w:name="_Toc313008359"/>
      <w:r>
        <w:rPr>
          <w:rFonts w:ascii="宋体" w:hAnsi="宋体"/>
        </w:rPr>
        <w:t>（</w:t>
      </w:r>
      <w:r>
        <w:rPr>
          <w:rFonts w:hint="eastAsia" w:ascii="宋体" w:hAnsi="宋体"/>
        </w:rPr>
        <w:t>1</w:t>
      </w:r>
      <w:r>
        <w:rPr>
          <w:rFonts w:ascii="宋体" w:hAnsi="宋体"/>
        </w:rPr>
        <w:t>）</w:t>
      </w:r>
      <w:r>
        <w:rPr>
          <w:rFonts w:ascii="宋体" w:hAnsi="宋体"/>
          <w:b/>
        </w:rPr>
        <w:t>请在“是否响应”一列中填写正偏离、负偏离或响应（</w:t>
      </w:r>
      <w:r>
        <w:rPr>
          <w:rFonts w:hint="eastAsia" w:ascii="宋体" w:hAnsi="宋体"/>
          <w:b/>
        </w:rPr>
        <w:t>不能</w:t>
      </w:r>
      <w:r>
        <w:rPr>
          <w:rFonts w:ascii="宋体" w:hAnsi="宋体"/>
          <w:b/>
        </w:rPr>
        <w:t>填写其他内容）；</w:t>
      </w:r>
    </w:p>
    <w:p>
      <w:pPr>
        <w:tabs>
          <w:tab w:val="left" w:pos="6300"/>
        </w:tabs>
        <w:snapToGrid w:val="0"/>
        <w:spacing w:line="500" w:lineRule="exact"/>
        <w:rPr>
          <w:rFonts w:ascii="方正仿宋_GBK" w:hAnsi="仿宋" w:eastAsia="方正仿宋_GBK"/>
          <w:sz w:val="24"/>
        </w:rPr>
      </w:pPr>
      <w:r>
        <w:rPr>
          <w:rFonts w:hint="eastAsia" w:ascii="方正仿宋_GBK" w:hAnsi="仿宋" w:eastAsia="方正仿宋_GBK"/>
          <w:sz w:val="24"/>
        </w:rPr>
        <w:t xml:space="preserve">    </w:t>
      </w:r>
      <w:r>
        <w:rPr>
          <w:rFonts w:hint="eastAsia" w:ascii="宋体" w:hAnsi="宋体"/>
        </w:rPr>
        <w:t>（2）</w:t>
      </w:r>
      <w:r>
        <w:rPr>
          <w:rFonts w:hint="eastAsia" w:ascii="宋体" w:hAnsi="宋体"/>
          <w:b/>
        </w:rPr>
        <w:t>不得改变对应序号</w:t>
      </w:r>
      <w:bookmarkEnd w:id="16"/>
      <w:bookmarkEnd w:id="17"/>
      <w:bookmarkEnd w:id="18"/>
      <w:bookmarkEnd w:id="19"/>
      <w:bookmarkEnd w:id="20"/>
      <w:bookmarkEnd w:id="21"/>
      <w:bookmarkEnd w:id="22"/>
    </w:p>
    <w:p>
      <w:pPr>
        <w:pStyle w:val="18"/>
        <w:numPr>
          <w:ilvl w:val="0"/>
          <w:numId w:val="5"/>
        </w:numPr>
        <w:spacing w:line="400" w:lineRule="exact"/>
        <w:ind w:firstLineChars="0"/>
        <w:rPr>
          <w:rFonts w:ascii="方正仿宋_GBK" w:hAnsi="宋体" w:eastAsia="方正仿宋_GBK"/>
          <w:sz w:val="24"/>
        </w:rPr>
      </w:pPr>
      <w:r>
        <w:rPr>
          <w:rFonts w:hint="eastAsia" w:ascii="方正仿宋_GBK" w:hAnsi="宋体" w:eastAsia="方正仿宋_GBK"/>
          <w:sz w:val="24"/>
        </w:rPr>
        <w:t>商务需求响应表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7486"/>
        <w:gridCol w:w="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0" w:type="auto"/>
            <w:vAlign w:val="center"/>
          </w:tcPr>
          <w:p>
            <w:pPr>
              <w:spacing w:line="300" w:lineRule="exact"/>
              <w:jc w:val="center"/>
              <w:rPr>
                <w:rFonts w:ascii="宋体" w:hAnsi="宋体"/>
                <w:b/>
                <w:bCs/>
                <w:szCs w:val="15"/>
              </w:rPr>
            </w:pPr>
            <w:r>
              <w:rPr>
                <w:rFonts w:ascii="宋体" w:hAnsi="宋体"/>
                <w:b/>
                <w:bCs/>
                <w:szCs w:val="15"/>
              </w:rPr>
              <w:t>序号</w:t>
            </w:r>
          </w:p>
        </w:tc>
        <w:tc>
          <w:tcPr>
            <w:tcW w:w="0" w:type="auto"/>
            <w:vAlign w:val="center"/>
          </w:tcPr>
          <w:p>
            <w:pPr>
              <w:spacing w:line="300" w:lineRule="exact"/>
              <w:jc w:val="center"/>
              <w:rPr>
                <w:rFonts w:ascii="宋体" w:hAnsi="宋体"/>
                <w:b/>
                <w:bCs/>
                <w:szCs w:val="15"/>
              </w:rPr>
            </w:pPr>
            <w:r>
              <w:rPr>
                <w:rFonts w:ascii="宋体" w:hAnsi="宋体"/>
                <w:b/>
                <w:bCs/>
                <w:szCs w:val="15"/>
              </w:rPr>
              <w:t>需求</w:t>
            </w:r>
          </w:p>
        </w:tc>
        <w:tc>
          <w:tcPr>
            <w:tcW w:w="0" w:type="auto"/>
            <w:vAlign w:val="center"/>
          </w:tcPr>
          <w:p>
            <w:pPr>
              <w:spacing w:line="300" w:lineRule="exact"/>
              <w:jc w:val="center"/>
              <w:rPr>
                <w:rFonts w:ascii="宋体" w:hAnsi="宋体"/>
                <w:b/>
                <w:bCs/>
                <w:szCs w:val="15"/>
              </w:rPr>
            </w:pPr>
            <w:r>
              <w:rPr>
                <w:rFonts w:hint="eastAsia"/>
                <w:b/>
                <w:bCs/>
                <w:szCs w:val="15"/>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0" w:type="auto"/>
            <w:vAlign w:val="center"/>
          </w:tcPr>
          <w:p>
            <w:pPr>
              <w:spacing w:line="300" w:lineRule="exact"/>
              <w:jc w:val="center"/>
              <w:rPr>
                <w:rFonts w:ascii="宋体" w:hAnsi="宋体"/>
                <w:szCs w:val="21"/>
              </w:rPr>
            </w:pPr>
            <w:r>
              <w:rPr>
                <w:rFonts w:hint="eastAsia" w:ascii="宋体" w:hAnsi="宋体"/>
                <w:szCs w:val="21"/>
              </w:rPr>
              <w:t>1</w:t>
            </w:r>
          </w:p>
        </w:tc>
        <w:tc>
          <w:tcPr>
            <w:tcW w:w="0" w:type="auto"/>
            <w:vAlign w:val="center"/>
          </w:tcPr>
          <w:p>
            <w:pPr>
              <w:rPr>
                <w:rFonts w:ascii="宋体" w:hAnsi="宋体"/>
                <w:szCs w:val="21"/>
              </w:rPr>
            </w:pPr>
            <w:r>
              <w:rPr>
                <w:rFonts w:hint="eastAsia" w:ascii="宋体" w:hAnsi="宋体"/>
                <w:szCs w:val="21"/>
              </w:rPr>
              <w:t>交付</w:t>
            </w:r>
            <w:r>
              <w:rPr>
                <w:rFonts w:ascii="宋体" w:hAnsi="宋体"/>
                <w:szCs w:val="21"/>
              </w:rPr>
              <w:t>时间：</w:t>
            </w:r>
            <w:r>
              <w:rPr>
                <w:rFonts w:hint="eastAsia" w:ascii="宋体" w:hAnsi="宋体" w:cs="宋体"/>
                <w:szCs w:val="21"/>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0" w:type="auto"/>
            <w:vAlign w:val="center"/>
          </w:tcPr>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0" w:type="auto"/>
            <w:vAlign w:val="center"/>
          </w:tcPr>
          <w:p>
            <w:pPr>
              <w:spacing w:line="300" w:lineRule="exact"/>
              <w:jc w:val="center"/>
              <w:rPr>
                <w:rFonts w:ascii="宋体" w:hAnsi="宋体"/>
                <w:szCs w:val="21"/>
              </w:rPr>
            </w:pPr>
            <w:r>
              <w:rPr>
                <w:rFonts w:hint="eastAsia" w:ascii="宋体" w:hAnsi="宋体"/>
                <w:szCs w:val="21"/>
              </w:rPr>
              <w:t>2</w:t>
            </w:r>
          </w:p>
        </w:tc>
        <w:tc>
          <w:tcPr>
            <w:tcW w:w="0" w:type="auto"/>
            <w:vAlign w:val="center"/>
          </w:tcPr>
          <w:p>
            <w:pPr>
              <w:rPr>
                <w:rFonts w:ascii="宋体" w:hAnsi="宋体"/>
                <w:szCs w:val="21"/>
              </w:rPr>
            </w:pPr>
            <w:r>
              <w:rPr>
                <w:rFonts w:hint="eastAsia" w:ascii="宋体" w:hAnsi="宋体"/>
                <w:szCs w:val="21"/>
              </w:rPr>
              <w:t>交</w:t>
            </w:r>
            <w:r>
              <w:rPr>
                <w:rFonts w:ascii="宋体" w:hAnsi="宋体"/>
                <w:szCs w:val="21"/>
              </w:rPr>
              <w:t>付地点：</w:t>
            </w:r>
            <w:r>
              <w:rPr>
                <w:rFonts w:hint="eastAsia" w:ascii="宋体" w:hAnsi="宋体"/>
                <w:szCs w:val="21"/>
              </w:rPr>
              <w:t>医院</w:t>
            </w:r>
            <w:r>
              <w:rPr>
                <w:rFonts w:ascii="宋体" w:hAnsi="宋体"/>
                <w:szCs w:val="21"/>
              </w:rPr>
              <w:t>指定的地点</w:t>
            </w:r>
            <w:r>
              <w:rPr>
                <w:rFonts w:hint="eastAsia"/>
                <w:szCs w:val="21"/>
              </w:rPr>
              <w:t>。</w:t>
            </w:r>
          </w:p>
        </w:tc>
        <w:tc>
          <w:tcPr>
            <w:tcW w:w="0" w:type="auto"/>
            <w:vAlign w:val="center"/>
          </w:tcPr>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5" w:hRule="atLeast"/>
          <w:jc w:val="center"/>
        </w:trPr>
        <w:tc>
          <w:tcPr>
            <w:tcW w:w="0" w:type="auto"/>
            <w:vAlign w:val="center"/>
          </w:tcPr>
          <w:p>
            <w:pPr>
              <w:spacing w:line="300" w:lineRule="exact"/>
              <w:jc w:val="center"/>
              <w:rPr>
                <w:rFonts w:ascii="宋体" w:hAnsi="宋体"/>
                <w:szCs w:val="21"/>
              </w:rPr>
            </w:pPr>
            <w:r>
              <w:rPr>
                <w:rFonts w:hint="eastAsia" w:ascii="宋体" w:hAnsi="宋体"/>
                <w:szCs w:val="21"/>
              </w:rPr>
              <w:t>3</w:t>
            </w:r>
          </w:p>
        </w:tc>
        <w:tc>
          <w:tcPr>
            <w:tcW w:w="0" w:type="auto"/>
            <w:vAlign w:val="center"/>
          </w:tcPr>
          <w:p>
            <w:pPr>
              <w:rPr>
                <w:rFonts w:ascii="宋体" w:hAnsi="宋体"/>
                <w:szCs w:val="21"/>
              </w:rPr>
            </w:pPr>
            <w:r>
              <w:rPr>
                <w:rFonts w:ascii="宋体" w:hAnsi="宋体"/>
                <w:szCs w:val="21"/>
              </w:rPr>
              <w:t>付款方式：</w:t>
            </w:r>
          </w:p>
          <w:p>
            <w:pPr>
              <w:rPr>
                <w:rFonts w:ascii="宋体" w:hAnsi="宋体"/>
                <w:szCs w:val="21"/>
              </w:rPr>
            </w:pPr>
            <w:r>
              <w:rPr>
                <w:rFonts w:hint="eastAsia" w:ascii="宋体" w:hAnsi="宋体"/>
                <w:szCs w:val="21"/>
              </w:rPr>
              <w:t>中标供应商</w:t>
            </w:r>
            <w:r>
              <w:rPr>
                <w:rFonts w:ascii="宋体" w:hAnsi="宋体"/>
                <w:szCs w:val="21"/>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pPr>
              <w:ind w:firstLine="420" w:firstLineChars="200"/>
              <w:rPr>
                <w:rFonts w:ascii="宋体" w:hAnsi="宋体"/>
                <w:szCs w:val="21"/>
              </w:rPr>
            </w:pPr>
            <w:r>
              <w:rPr>
                <w:rFonts w:hint="eastAsia" w:ascii="宋体" w:hAnsi="宋体"/>
                <w:szCs w:val="21"/>
              </w:rPr>
              <w:t>医院</w:t>
            </w:r>
            <w:r>
              <w:rPr>
                <w:rFonts w:ascii="宋体" w:hAnsi="宋体"/>
                <w:szCs w:val="21"/>
              </w:rPr>
              <w:t>在</w:t>
            </w:r>
            <w:r>
              <w:rPr>
                <w:rFonts w:hint="eastAsia" w:ascii="宋体" w:hAnsi="宋体"/>
                <w:szCs w:val="21"/>
              </w:rPr>
              <w:t>货物验收后</w:t>
            </w:r>
            <w:r>
              <w:rPr>
                <w:rFonts w:ascii="宋体" w:hAnsi="宋体"/>
                <w:szCs w:val="21"/>
              </w:rPr>
              <w:t>，同时收到</w:t>
            </w:r>
            <w:r>
              <w:rPr>
                <w:rFonts w:hint="eastAsia" w:ascii="宋体" w:hAnsi="宋体"/>
                <w:szCs w:val="21"/>
              </w:rPr>
              <w:t>中标供应商</w:t>
            </w:r>
            <w:r>
              <w:rPr>
                <w:rFonts w:ascii="宋体" w:hAnsi="宋体"/>
                <w:szCs w:val="21"/>
              </w:rPr>
              <w:t>开具符合要求的发票后</w:t>
            </w:r>
            <w:r>
              <w:rPr>
                <w:rFonts w:hint="eastAsia" w:ascii="宋体" w:hAnsi="宋体"/>
                <w:szCs w:val="21"/>
              </w:rPr>
              <w:t>：</w:t>
            </w:r>
          </w:p>
          <w:p>
            <w:pPr>
              <w:ind w:firstLine="420" w:firstLineChars="200"/>
              <w:rPr>
                <w:rFonts w:ascii="宋体" w:hAnsi="宋体"/>
                <w:szCs w:val="21"/>
              </w:rPr>
            </w:pPr>
            <w:r>
              <w:rPr>
                <w:rFonts w:hint="eastAsia" w:ascii="宋体" w:hAnsi="宋体"/>
                <w:szCs w:val="21"/>
              </w:rPr>
              <w:t>①中标供应商为中小微企业:医院在货物验收后，同时收到中标供应商开具符合要求的发票后，30日内支付中标供应商货款，但由于中标供应商存在货物质量、到货不及时或其它情况，医院有权延长或拒绝支付。</w:t>
            </w:r>
          </w:p>
          <w:p>
            <w:pPr>
              <w:ind w:firstLine="420" w:firstLineChars="200"/>
              <w:rPr>
                <w:rFonts w:ascii="宋体" w:hAnsi="宋体"/>
                <w:szCs w:val="21"/>
              </w:rPr>
            </w:pPr>
            <w:r>
              <w:rPr>
                <w:rFonts w:hint="eastAsia" w:ascii="宋体" w:hAnsi="宋体"/>
                <w:szCs w:val="21"/>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pPr>
              <w:ind w:firstLine="420" w:firstLineChars="200"/>
              <w:rPr>
                <w:rFonts w:ascii="宋体" w:hAnsi="宋体"/>
                <w:szCs w:val="21"/>
              </w:rPr>
            </w:pPr>
            <w:r>
              <w:rPr>
                <w:rFonts w:hint="eastAsia" w:ascii="宋体" w:hAnsi="宋体"/>
                <w:szCs w:val="21"/>
              </w:rPr>
              <w:t>不满足上述付款条件的，医院有权延期付款且不承担任何责任，中标供应商应继续履行合同义务，合同另有约定的除外。</w:t>
            </w:r>
          </w:p>
        </w:tc>
        <w:tc>
          <w:tcPr>
            <w:tcW w:w="0" w:type="auto"/>
            <w:vAlign w:val="center"/>
          </w:tcPr>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0" w:type="auto"/>
            <w:vAlign w:val="center"/>
          </w:tcPr>
          <w:p>
            <w:pPr>
              <w:spacing w:line="300" w:lineRule="exact"/>
              <w:jc w:val="center"/>
              <w:rPr>
                <w:rFonts w:ascii="宋体" w:hAnsi="宋体"/>
                <w:szCs w:val="21"/>
              </w:rPr>
            </w:pPr>
            <w:r>
              <w:rPr>
                <w:rFonts w:hint="eastAsia" w:ascii="宋体" w:hAnsi="宋体"/>
                <w:szCs w:val="21"/>
              </w:rPr>
              <w:t>4</w:t>
            </w:r>
          </w:p>
        </w:tc>
        <w:tc>
          <w:tcPr>
            <w:tcW w:w="0" w:type="auto"/>
            <w:vAlign w:val="center"/>
          </w:tcPr>
          <w:p>
            <w:pPr>
              <w:rPr>
                <w:rFonts w:ascii="宋体" w:hAnsi="宋体"/>
                <w:szCs w:val="21"/>
              </w:rPr>
            </w:pPr>
            <w:r>
              <w:rPr>
                <w:rFonts w:hint="eastAsia" w:ascii="宋体" w:hAnsi="宋体"/>
                <w:szCs w:val="21"/>
              </w:rPr>
              <w:t>中标供应商在送货时，应提供医用耗材的质检报告或合格证书，中标供应商</w:t>
            </w:r>
            <w:r>
              <w:rPr>
                <w:rFonts w:ascii="宋体" w:hAnsi="宋体"/>
                <w:szCs w:val="21"/>
              </w:rPr>
              <w:t>在交货</w:t>
            </w:r>
            <w:r>
              <w:rPr>
                <w:rFonts w:hint="eastAsia" w:ascii="宋体" w:hAnsi="宋体"/>
                <w:szCs w:val="21"/>
              </w:rPr>
              <w:t>（仅限于进口货物）</w:t>
            </w:r>
            <w:r>
              <w:rPr>
                <w:rFonts w:ascii="宋体" w:hAnsi="宋体"/>
                <w:szCs w:val="21"/>
              </w:rPr>
              <w:t>时需要提供《中华人民共和国海关进口货物报关单》</w:t>
            </w:r>
            <w:r>
              <w:rPr>
                <w:rFonts w:hint="eastAsia" w:ascii="宋体" w:hAnsi="宋体"/>
                <w:szCs w:val="21"/>
              </w:rPr>
              <w:t>；若为冷链运输，则需要提供冷链运输相关资料。</w:t>
            </w:r>
          </w:p>
        </w:tc>
        <w:tc>
          <w:tcPr>
            <w:tcW w:w="0" w:type="auto"/>
            <w:vAlign w:val="center"/>
          </w:tcPr>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0" w:type="auto"/>
            <w:vAlign w:val="center"/>
          </w:tcPr>
          <w:p>
            <w:pPr>
              <w:spacing w:line="300" w:lineRule="exact"/>
              <w:jc w:val="center"/>
              <w:rPr>
                <w:rFonts w:ascii="宋体" w:hAnsi="宋体"/>
                <w:szCs w:val="21"/>
              </w:rPr>
            </w:pPr>
            <w:r>
              <w:rPr>
                <w:rFonts w:hint="eastAsia" w:ascii="宋体" w:hAnsi="宋体"/>
                <w:szCs w:val="21"/>
              </w:rPr>
              <w:t>5</w:t>
            </w:r>
          </w:p>
        </w:tc>
        <w:tc>
          <w:tcPr>
            <w:tcW w:w="0" w:type="auto"/>
            <w:vAlign w:val="center"/>
          </w:tcPr>
          <w:p>
            <w:pPr>
              <w:rPr>
                <w:rFonts w:ascii="宋体" w:hAnsi="宋体"/>
                <w:szCs w:val="21"/>
              </w:rPr>
            </w:pPr>
            <w:r>
              <w:rPr>
                <w:rFonts w:hint="eastAsia" w:ascii="宋体" w:hAnsi="宋体" w:cs="宋体"/>
                <w:szCs w:val="21"/>
              </w:rPr>
              <w:t>医用耗材</w:t>
            </w:r>
            <w:r>
              <w:rPr>
                <w:rFonts w:ascii="宋体" w:hAnsi="宋体" w:cs="宋体"/>
                <w:szCs w:val="21"/>
              </w:rPr>
              <w:t>有效期至少在半年以上</w:t>
            </w:r>
            <w:r>
              <w:rPr>
                <w:rFonts w:hint="eastAsia" w:ascii="宋体" w:hAnsi="宋体" w:cs="宋体"/>
                <w:szCs w:val="21"/>
              </w:rPr>
              <w:t>，若涉及试剂，</w:t>
            </w:r>
            <w:r>
              <w:rPr>
                <w:rFonts w:ascii="宋体" w:hAnsi="宋体" w:cs="宋体"/>
                <w:szCs w:val="21"/>
              </w:rPr>
              <w:t>试剂批号一年不超过3个。</w:t>
            </w:r>
          </w:p>
        </w:tc>
        <w:tc>
          <w:tcPr>
            <w:tcW w:w="0" w:type="auto"/>
            <w:vAlign w:val="center"/>
          </w:tcPr>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7" w:hRule="atLeast"/>
          <w:jc w:val="center"/>
        </w:trPr>
        <w:tc>
          <w:tcPr>
            <w:tcW w:w="0" w:type="auto"/>
            <w:vAlign w:val="center"/>
          </w:tcPr>
          <w:p>
            <w:pPr>
              <w:spacing w:line="300" w:lineRule="exact"/>
              <w:jc w:val="center"/>
              <w:rPr>
                <w:rFonts w:ascii="宋体" w:hAnsi="宋体"/>
                <w:szCs w:val="21"/>
              </w:rPr>
            </w:pPr>
            <w:r>
              <w:rPr>
                <w:rFonts w:hint="eastAsia" w:ascii="宋体" w:hAnsi="宋体"/>
                <w:szCs w:val="21"/>
              </w:rPr>
              <w:t>6</w:t>
            </w:r>
          </w:p>
        </w:tc>
        <w:tc>
          <w:tcPr>
            <w:tcW w:w="0" w:type="auto"/>
            <w:vAlign w:val="center"/>
          </w:tcPr>
          <w:p>
            <w:pPr>
              <w:rPr>
                <w:rFonts w:ascii="宋体" w:hAnsi="宋体"/>
                <w:szCs w:val="21"/>
              </w:rPr>
            </w:pPr>
            <w:r>
              <w:rPr>
                <w:rFonts w:hint="eastAsia" w:ascii="宋体" w:hAnsi="宋体"/>
                <w:szCs w:val="21"/>
              </w:rPr>
              <w:t>验收方案</w:t>
            </w:r>
          </w:p>
          <w:p>
            <w:pPr>
              <w:numPr>
                <w:ilvl w:val="0"/>
                <w:numId w:val="3"/>
              </w:numPr>
              <w:rPr>
                <w:rFonts w:ascii="宋体" w:hAnsi="宋体"/>
                <w:szCs w:val="21"/>
              </w:rPr>
            </w:pPr>
            <w:r>
              <w:rPr>
                <w:rFonts w:hint="eastAsia" w:ascii="宋体" w:hAnsi="宋体"/>
                <w:szCs w:val="21"/>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pPr>
              <w:rPr>
                <w:rFonts w:ascii="宋体" w:hAnsi="宋体"/>
                <w:szCs w:val="21"/>
              </w:rPr>
            </w:pPr>
            <w:r>
              <w:rPr>
                <w:rFonts w:hint="eastAsia" w:ascii="宋体" w:hAnsi="宋体"/>
                <w:szCs w:val="21"/>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pPr>
              <w:rPr>
                <w:rFonts w:ascii="宋体" w:hAnsi="宋体"/>
                <w:szCs w:val="21"/>
              </w:rPr>
            </w:pPr>
            <w:r>
              <w:rPr>
                <w:rFonts w:hint="eastAsia" w:ascii="宋体" w:hAnsi="宋体"/>
                <w:szCs w:val="21"/>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pPr>
              <w:rPr>
                <w:rFonts w:ascii="宋体" w:hAnsi="宋体"/>
                <w:szCs w:val="21"/>
              </w:rPr>
            </w:pPr>
            <w:r>
              <w:rPr>
                <w:rFonts w:hint="eastAsia" w:ascii="宋体" w:hAnsi="宋体"/>
                <w:szCs w:val="21"/>
              </w:rPr>
              <w:t>4、若中标供应商货物为高值耗材或其它医院规定的耗材，中标供应商应按照医院要求完成对医用耗材贴码等工作，由此产生的费用由中标供应商自行承担。</w:t>
            </w:r>
          </w:p>
          <w:p>
            <w:pPr>
              <w:rPr>
                <w:rFonts w:ascii="宋体" w:hAnsi="宋体"/>
                <w:szCs w:val="21"/>
              </w:rPr>
            </w:pPr>
            <w:r>
              <w:rPr>
                <w:rFonts w:hint="eastAsia" w:ascii="宋体" w:hAnsi="宋体"/>
                <w:szCs w:val="21"/>
              </w:rPr>
              <w:t>5、纳入高值耗材管理的医用耗材，需提供一物一码。</w:t>
            </w:r>
          </w:p>
          <w:p>
            <w:pPr>
              <w:rPr>
                <w:rFonts w:ascii="宋体" w:hAnsi="宋体"/>
                <w:szCs w:val="21"/>
              </w:rPr>
            </w:pPr>
            <w:r>
              <w:rPr>
                <w:rFonts w:hint="eastAsia" w:ascii="宋体" w:hAnsi="宋体"/>
                <w:szCs w:val="21"/>
              </w:rPr>
              <w:t>6、医院根据送货单，依照我院医用耗材验收相关制度对货物进行检验后，在送货单上签字视为确认验收。</w:t>
            </w:r>
          </w:p>
        </w:tc>
        <w:tc>
          <w:tcPr>
            <w:tcW w:w="0" w:type="auto"/>
            <w:vAlign w:val="center"/>
          </w:tcPr>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0" w:type="auto"/>
            <w:vAlign w:val="center"/>
          </w:tcPr>
          <w:p>
            <w:pPr>
              <w:spacing w:line="300" w:lineRule="exact"/>
              <w:rPr>
                <w:rFonts w:ascii="宋体" w:hAnsi="宋体"/>
                <w:szCs w:val="21"/>
              </w:rPr>
            </w:pPr>
            <w:r>
              <w:rPr>
                <w:rFonts w:hint="eastAsia" w:ascii="宋体" w:hAnsi="宋体"/>
                <w:szCs w:val="21"/>
              </w:rPr>
              <w:t>7</w:t>
            </w:r>
          </w:p>
        </w:tc>
        <w:tc>
          <w:tcPr>
            <w:tcW w:w="0" w:type="auto"/>
            <w:vAlign w:val="center"/>
          </w:tcPr>
          <w:p>
            <w:pPr>
              <w:rPr>
                <w:rFonts w:ascii="宋体" w:hAnsi="宋体"/>
                <w:szCs w:val="21"/>
              </w:rPr>
            </w:pPr>
            <w:r>
              <w:rPr>
                <w:rFonts w:hint="eastAsia" w:ascii="宋体" w:hAnsi="宋体"/>
                <w:szCs w:val="21"/>
              </w:rPr>
              <w:t>其它要求：</w:t>
            </w:r>
          </w:p>
          <w:p>
            <w:pPr>
              <w:rPr>
                <w:rFonts w:ascii="宋体" w:hAnsi="宋体"/>
                <w:szCs w:val="21"/>
              </w:rPr>
            </w:pPr>
            <w:r>
              <w:rPr>
                <w:rFonts w:hint="eastAsia" w:ascii="宋体" w:hAnsi="宋体"/>
                <w:szCs w:val="21"/>
              </w:rPr>
              <w:t>1、医院在医用耗材使用中发现质量问题或货物短缺的通知后 1</w:t>
            </w:r>
            <w:r>
              <w:rPr>
                <w:rFonts w:hint="eastAsia"/>
                <w:szCs w:val="21"/>
              </w:rPr>
              <w:t>日</w:t>
            </w:r>
            <w:r>
              <w:rPr>
                <w:rFonts w:hint="eastAsia" w:ascii="宋体" w:hAnsi="宋体"/>
                <w:szCs w:val="21"/>
              </w:rPr>
              <w:t xml:space="preserve">内进行处理 。若中标供应商医用耗材有质量问题，接到医院通知后一周之内没有处理，医院有权在医用耗材问题解决前拒绝支付当期货款。 </w:t>
            </w:r>
          </w:p>
          <w:p>
            <w:pPr>
              <w:rPr>
                <w:rFonts w:ascii="宋体" w:hAnsi="宋体"/>
                <w:szCs w:val="21"/>
              </w:rPr>
            </w:pPr>
            <w:r>
              <w:rPr>
                <w:rFonts w:hint="eastAsia" w:ascii="宋体" w:hAnsi="宋体"/>
                <w:szCs w:val="21"/>
              </w:rPr>
              <w:t>2、医院在医用耗材使用中发现质量问题或货物短缺，经中标供应商认可或经有关</w:t>
            </w:r>
            <w:r>
              <w:rPr>
                <w:rFonts w:hint="eastAsia"/>
                <w:szCs w:val="21"/>
              </w:rPr>
              <w:t>法定部门</w:t>
            </w:r>
            <w:r>
              <w:rPr>
                <w:rFonts w:hint="eastAsia" w:ascii="宋体" w:hAnsi="宋体"/>
                <w:szCs w:val="21"/>
              </w:rPr>
              <w:t>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pPr>
              <w:rPr>
                <w:rFonts w:ascii="宋体" w:hAnsi="宋体"/>
                <w:szCs w:val="21"/>
              </w:rPr>
            </w:pPr>
            <w:r>
              <w:rPr>
                <w:rFonts w:hint="eastAsia" w:ascii="宋体" w:hAnsi="宋体"/>
                <w:szCs w:val="21"/>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pPr>
              <w:rPr>
                <w:rFonts w:ascii="宋体" w:hAnsi="宋体"/>
                <w:szCs w:val="21"/>
              </w:rPr>
            </w:pPr>
            <w:r>
              <w:rPr>
                <w:rFonts w:hint="eastAsia" w:ascii="宋体" w:hAnsi="宋体"/>
                <w:szCs w:val="21"/>
              </w:rPr>
              <w:t>4、若中标供应商不能及时送货或由于其它原因造成合同不能正常执行，应第一时间与医院进行沟通。</w:t>
            </w:r>
          </w:p>
          <w:p>
            <w:pPr>
              <w:rPr>
                <w:rFonts w:ascii="宋体" w:hAnsi="宋体"/>
                <w:szCs w:val="21"/>
              </w:rPr>
            </w:pPr>
            <w:r>
              <w:rPr>
                <w:rFonts w:hint="eastAsia" w:ascii="宋体" w:hAnsi="宋体"/>
                <w:szCs w:val="21"/>
              </w:rPr>
              <w:t>5、对于效期或其它问题需要更换的医用耗材，中标供应商应积极配合医院进行更换。</w:t>
            </w:r>
          </w:p>
          <w:p>
            <w:pPr>
              <w:rPr>
                <w:rFonts w:ascii="宋体" w:hAnsi="宋体"/>
                <w:szCs w:val="21"/>
              </w:rPr>
            </w:pPr>
            <w:r>
              <w:rPr>
                <w:rFonts w:hint="eastAsia" w:ascii="宋体" w:hAnsi="宋体"/>
                <w:szCs w:val="21"/>
              </w:rPr>
              <w:t>6、中标供应商应根据医院需求，提供医用耗材使用相关培训。</w:t>
            </w:r>
          </w:p>
          <w:p>
            <w:pPr>
              <w:rPr>
                <w:rFonts w:ascii="宋体" w:hAnsi="宋体"/>
                <w:szCs w:val="21"/>
              </w:rPr>
            </w:pPr>
            <w:r>
              <w:rPr>
                <w:rFonts w:hint="eastAsia" w:ascii="宋体" w:hAnsi="宋体"/>
                <w:szCs w:val="21"/>
              </w:rPr>
              <w:t>7、中标供应商应配合医院提供医用耗材相关资料及数据统计等工作，中标供应商在收到医院合同后，应积极配合医院信息化管理，及时上传合同及资质等，并完善相关信息。</w:t>
            </w:r>
          </w:p>
          <w:p>
            <w:pPr>
              <w:rPr>
                <w:rFonts w:ascii="宋体" w:hAnsi="宋体"/>
                <w:szCs w:val="21"/>
              </w:rPr>
            </w:pPr>
            <w:r>
              <w:rPr>
                <w:rFonts w:hint="eastAsia" w:ascii="宋体" w:hAnsi="宋体"/>
                <w:szCs w:val="21"/>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pPr>
              <w:rPr>
                <w:szCs w:val="21"/>
              </w:rPr>
            </w:pPr>
            <w:r>
              <w:rPr>
                <w:rFonts w:hint="eastAsia"/>
                <w:szCs w:val="21"/>
              </w:rPr>
              <w:t>9、医院有权对标签不明确、包装破损、包装污染、灭菌消毒期限邻近、货物损坏的货物拒收，并且医院不承担任何违约责任。</w:t>
            </w:r>
          </w:p>
          <w:p>
            <w:pPr>
              <w:rPr>
                <w:szCs w:val="21"/>
              </w:rPr>
            </w:pPr>
            <w:r>
              <w:rPr>
                <w:rFonts w:hint="eastAsia"/>
                <w:szCs w:val="21"/>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pPr>
              <w:rPr>
                <w:rFonts w:ascii="宋体" w:hAnsi="宋体"/>
                <w:szCs w:val="21"/>
              </w:rPr>
            </w:pPr>
          </w:p>
        </w:tc>
        <w:tc>
          <w:tcPr>
            <w:tcW w:w="0" w:type="auto"/>
            <w:vAlign w:val="center"/>
          </w:tcPr>
          <w:p>
            <w:pPr>
              <w:spacing w:line="300" w:lineRule="exact"/>
              <w:rPr>
                <w:szCs w:val="21"/>
              </w:rPr>
            </w:pPr>
          </w:p>
        </w:tc>
      </w:tr>
    </w:tbl>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tabs>
          <w:tab w:val="left" w:pos="6300"/>
        </w:tabs>
        <w:snapToGrid w:val="0"/>
        <w:spacing w:line="400" w:lineRule="exact"/>
        <w:rPr>
          <w:rFonts w:ascii="方正仿宋_GBK" w:hAnsi="宋体" w:eastAsia="方正仿宋_GBK"/>
          <w:sz w:val="24"/>
        </w:rPr>
      </w:pPr>
    </w:p>
    <w:p>
      <w:pPr>
        <w:rPr>
          <w:rFonts w:ascii="仿宋" w:hAnsi="仿宋" w:eastAsia="仿宋"/>
          <w:b/>
          <w:sz w:val="32"/>
          <w:szCs w:val="32"/>
        </w:rPr>
      </w:pPr>
      <w:r>
        <w:rPr>
          <w:rFonts w:hint="eastAsia" w:ascii="仿宋" w:hAnsi="仿宋" w:eastAsia="仿宋"/>
          <w:b/>
          <w:sz w:val="32"/>
          <w:szCs w:val="32"/>
        </w:rPr>
        <w:t>四</w:t>
      </w:r>
      <w:r>
        <w:rPr>
          <w:rFonts w:ascii="仿宋" w:hAnsi="仿宋" w:eastAsia="仿宋"/>
          <w:b/>
          <w:sz w:val="32"/>
          <w:szCs w:val="32"/>
        </w:rPr>
        <w:t>、资格条件</w:t>
      </w:r>
    </w:p>
    <w:p>
      <w:pPr>
        <w:rPr>
          <w:rFonts w:ascii="方正仿宋_GBK" w:hAnsi="仿宋" w:eastAsia="方正仿宋_GBK"/>
          <w:sz w:val="24"/>
        </w:rPr>
      </w:pPr>
      <w:r>
        <w:rPr>
          <w:rFonts w:hint="eastAsia" w:ascii="方正仿宋_GBK" w:hAnsi="仿宋" w:eastAsia="方正仿宋_GBK"/>
          <w:sz w:val="24"/>
        </w:rPr>
        <w:t>（一）法人营业执照（副本）或事业单位法人证书（副本）或个体工商户营业执照或有效的自然人身份证明或社会团体法人登记证书复印件</w:t>
      </w:r>
    </w:p>
    <w:p>
      <w:pPr>
        <w:tabs>
          <w:tab w:val="left" w:pos="6300"/>
        </w:tabs>
        <w:snapToGrid w:val="0"/>
        <w:spacing w:line="400" w:lineRule="exact"/>
        <w:ind w:firstLine="570"/>
        <w:rPr>
          <w:rFonts w:ascii="方正仿宋_GBK" w:hAnsi="仿宋" w:eastAsia="方正仿宋_GBK"/>
          <w:sz w:val="24"/>
        </w:rPr>
      </w:pPr>
    </w:p>
    <w:p>
      <w:pPr>
        <w:tabs>
          <w:tab w:val="left" w:pos="6300"/>
        </w:tabs>
        <w:snapToGrid w:val="0"/>
        <w:spacing w:line="500" w:lineRule="exact"/>
        <w:ind w:firstLine="570"/>
        <w:rPr>
          <w:rFonts w:ascii="方正仿宋_GBK" w:hAnsi="宋体" w:eastAsia="方正仿宋_GBK"/>
        </w:rPr>
      </w:pPr>
    </w:p>
    <w:p>
      <w:pPr>
        <w:tabs>
          <w:tab w:val="left" w:pos="6300"/>
        </w:tabs>
        <w:snapToGrid w:val="0"/>
        <w:spacing w:line="500" w:lineRule="exact"/>
        <w:ind w:firstLine="570"/>
        <w:rPr>
          <w:rFonts w:ascii="方正仿宋_GBK" w:hAnsi="宋体" w:eastAsia="方正仿宋_GBK"/>
        </w:rPr>
      </w:pPr>
    </w:p>
    <w:p>
      <w:pPr>
        <w:tabs>
          <w:tab w:val="left" w:pos="6300"/>
        </w:tabs>
        <w:snapToGrid w:val="0"/>
        <w:spacing w:line="500" w:lineRule="exact"/>
        <w:ind w:firstLine="570"/>
        <w:rPr>
          <w:rFonts w:ascii="方正仿宋_GBK" w:hAnsi="宋体" w:eastAsia="方正仿宋_GBK"/>
        </w:rPr>
      </w:pPr>
    </w:p>
    <w:p>
      <w:pPr>
        <w:tabs>
          <w:tab w:val="left" w:pos="6300"/>
        </w:tabs>
        <w:snapToGrid w:val="0"/>
        <w:spacing w:line="500" w:lineRule="exact"/>
        <w:ind w:firstLine="570"/>
        <w:rPr>
          <w:rFonts w:ascii="方正仿宋_GBK" w:hAnsi="宋体" w:eastAsia="方正仿宋_GBK"/>
        </w:rPr>
      </w:pPr>
    </w:p>
    <w:p>
      <w:pPr>
        <w:widowControl/>
        <w:jc w:val="left"/>
        <w:rPr>
          <w:rFonts w:ascii="方正仿宋_GBK" w:hAnsi="仿宋" w:eastAsia="方正仿宋_GBK"/>
          <w:sz w:val="24"/>
        </w:rPr>
      </w:pPr>
      <w:r>
        <w:rPr>
          <w:rFonts w:ascii="方正仿宋_GBK" w:hAnsi="宋体" w:eastAsia="方正仿宋_GBK"/>
        </w:rPr>
        <w:br w:type="page"/>
      </w:r>
      <w:r>
        <w:rPr>
          <w:rFonts w:hint="eastAsia" w:ascii="方正仿宋_GBK" w:hAnsi="仿宋" w:eastAsia="方正仿宋_GBK"/>
          <w:sz w:val="24"/>
        </w:rPr>
        <w:t>（二）法定代表人身份证明书（格式）</w:t>
      </w:r>
    </w:p>
    <w:p>
      <w:pPr>
        <w:widowControl/>
        <w:jc w:val="left"/>
        <w:rPr>
          <w:rFonts w:ascii="方正仿宋_GBK" w:hAnsi="仿宋" w:eastAsia="方正仿宋_GBK"/>
          <w:sz w:val="24"/>
        </w:rPr>
      </w:pPr>
    </w:p>
    <w:p>
      <w:pPr>
        <w:widowControl/>
        <w:jc w:val="left"/>
        <w:rPr>
          <w:rFonts w:ascii="方正仿宋_GBK" w:hAnsi="仿宋" w:eastAsia="方正仿宋_GBK"/>
          <w:sz w:val="24"/>
        </w:rPr>
      </w:pPr>
      <w:r>
        <w:rPr>
          <w:rFonts w:hint="eastAsia" w:ascii="方正仿宋_GBK" w:hAnsi="仿宋" w:eastAsia="方正仿宋_GBK"/>
          <w:sz w:val="24"/>
        </w:rPr>
        <w:t>眉山市妇幼保健院：</w:t>
      </w:r>
    </w:p>
    <w:p>
      <w:pPr>
        <w:widowControl/>
        <w:ind w:firstLine="240" w:firstLineChars="100"/>
        <w:jc w:val="left"/>
        <w:rPr>
          <w:rFonts w:ascii="方正仿宋_GBK" w:hAnsi="仿宋" w:eastAsia="方正仿宋_GBK"/>
          <w:sz w:val="24"/>
        </w:rPr>
      </w:pPr>
      <w:r>
        <w:rPr>
          <w:rFonts w:hint="eastAsia" w:ascii="方正仿宋_GBK" w:hAnsi="仿宋" w:eastAsia="方正仿宋_GBK"/>
          <w:sz w:val="24"/>
        </w:rPr>
        <w:t>（法定代表人姓名）在（投标人名称）任（职务名称）职务，是（投标人名称）的法定代表人。</w:t>
      </w:r>
    </w:p>
    <w:p>
      <w:pPr>
        <w:widowControl/>
        <w:jc w:val="left"/>
        <w:rPr>
          <w:rFonts w:ascii="方正仿宋_GBK" w:hAnsi="仿宋" w:eastAsia="方正仿宋_GBK"/>
          <w:sz w:val="24"/>
        </w:rPr>
      </w:pPr>
    </w:p>
    <w:p>
      <w:pPr>
        <w:widowControl/>
        <w:ind w:firstLine="720" w:firstLineChars="300"/>
        <w:jc w:val="left"/>
        <w:rPr>
          <w:rFonts w:ascii="方正仿宋_GBK" w:hAnsi="仿宋" w:eastAsia="方正仿宋_GBK"/>
          <w:sz w:val="24"/>
        </w:rPr>
      </w:pPr>
      <w:r>
        <w:rPr>
          <w:rFonts w:hint="eastAsia" w:ascii="方正仿宋_GBK" w:hAnsi="仿宋" w:eastAsia="方正仿宋_GBK"/>
          <w:sz w:val="24"/>
        </w:rPr>
        <w:t>特此证明。</w:t>
      </w:r>
    </w:p>
    <w:p>
      <w:pPr>
        <w:widowControl/>
        <w:jc w:val="left"/>
        <w:rPr>
          <w:rFonts w:ascii="方正仿宋_GBK" w:hAnsi="仿宋" w:eastAsia="方正仿宋_GBK"/>
          <w:sz w:val="24"/>
        </w:rPr>
      </w:pPr>
    </w:p>
    <w:p>
      <w:pPr>
        <w:widowControl/>
        <w:jc w:val="left"/>
        <w:rPr>
          <w:rFonts w:ascii="方正仿宋_GBK" w:hAnsi="仿宋" w:eastAsia="方正仿宋_GBK"/>
          <w:sz w:val="24"/>
        </w:rPr>
      </w:pPr>
    </w:p>
    <w:p>
      <w:pPr>
        <w:widowControl/>
        <w:jc w:val="left"/>
        <w:rPr>
          <w:rFonts w:ascii="方正仿宋_GBK" w:hAnsi="仿宋" w:eastAsia="方正仿宋_GBK"/>
          <w:sz w:val="24"/>
        </w:rPr>
      </w:pPr>
    </w:p>
    <w:p>
      <w:pPr>
        <w:widowControl/>
        <w:jc w:val="left"/>
        <w:rPr>
          <w:rFonts w:ascii="方正仿宋_GBK" w:hAnsi="仿宋" w:eastAsia="方正仿宋_GBK"/>
          <w:sz w:val="24"/>
        </w:rPr>
      </w:pPr>
      <w:r>
        <w:rPr>
          <w:rFonts w:hint="eastAsia" w:ascii="方正仿宋_GBK" w:hAnsi="仿宋" w:eastAsia="方正仿宋_GBK"/>
          <w:sz w:val="24"/>
        </w:rPr>
        <w:t xml:space="preserve">                                             （投标人公章）</w:t>
      </w:r>
    </w:p>
    <w:p>
      <w:pPr>
        <w:widowControl/>
        <w:jc w:val="left"/>
        <w:rPr>
          <w:rFonts w:ascii="方正仿宋_GBK" w:hAnsi="仿宋" w:eastAsia="方正仿宋_GBK"/>
          <w:sz w:val="24"/>
        </w:rPr>
      </w:pPr>
      <w:r>
        <w:rPr>
          <w:rFonts w:hint="eastAsia" w:ascii="方正仿宋_GBK" w:hAnsi="仿宋" w:eastAsia="方正仿宋_GBK"/>
          <w:sz w:val="24"/>
        </w:rPr>
        <w:t xml:space="preserve">                                              年   月   日</w:t>
      </w:r>
    </w:p>
    <w:p>
      <w:pPr>
        <w:widowControl/>
        <w:jc w:val="left"/>
        <w:rPr>
          <w:rFonts w:ascii="方正仿宋_GBK" w:hAnsi="仿宋" w:eastAsia="方正仿宋_GBK"/>
          <w:sz w:val="24"/>
        </w:rPr>
      </w:pPr>
      <w:r>
        <w:rPr>
          <w:rFonts w:hint="eastAsia" w:ascii="方正仿宋_GBK" w:hAnsi="仿宋" w:eastAsia="方正仿宋_GBK"/>
          <w:sz w:val="24"/>
        </w:rPr>
        <w:t>法定代表人电话：XXXXXXX      电子邮箱：XXXXXX@XXXXX（若授权他人办理并签署响应文件的可不填写）</w:t>
      </w:r>
    </w:p>
    <w:p>
      <w:pPr>
        <w:widowControl/>
        <w:jc w:val="left"/>
        <w:rPr>
          <w:rFonts w:ascii="方正仿宋_GBK" w:hAnsi="仿宋" w:eastAsia="方正仿宋_GBK"/>
          <w:sz w:val="24"/>
        </w:rPr>
      </w:pPr>
      <w:r>
        <w:rPr>
          <w:rFonts w:hint="eastAsia" w:ascii="方正仿宋_GBK" w:hAnsi="仿宋" w:eastAsia="方正仿宋_GBK"/>
          <w:sz w:val="24"/>
        </w:rPr>
        <w:t>（附：法定代表人身份证正反面复印件）</w:t>
      </w:r>
    </w:p>
    <w:p>
      <w:pPr>
        <w:rPr>
          <w:rFonts w:ascii="方正仿宋_GBK" w:hAnsi="仿宋" w:eastAsia="方正仿宋_GBK"/>
          <w:sz w:val="24"/>
        </w:rPr>
      </w:pPr>
    </w:p>
    <w:p>
      <w:pPr>
        <w:tabs>
          <w:tab w:val="left" w:pos="6300"/>
        </w:tabs>
        <w:snapToGrid w:val="0"/>
        <w:spacing w:line="500" w:lineRule="exact"/>
        <w:ind w:firstLine="570"/>
        <w:rPr>
          <w:rFonts w:ascii="方正仿宋_GBK" w:hAnsi="仿宋" w:eastAsia="方正仿宋_GBK"/>
          <w:sz w:val="24"/>
        </w:rPr>
      </w:pPr>
    </w:p>
    <w:p>
      <w:pPr>
        <w:tabs>
          <w:tab w:val="left" w:pos="6300"/>
        </w:tabs>
        <w:snapToGrid w:val="0"/>
        <w:spacing w:line="500" w:lineRule="exact"/>
        <w:ind w:firstLine="570"/>
        <w:rPr>
          <w:rFonts w:ascii="方正仿宋_GBK" w:hAnsi="仿宋" w:eastAsia="方正仿宋_GBK"/>
          <w:sz w:val="24"/>
        </w:rPr>
      </w:pPr>
    </w:p>
    <w:p>
      <w:pPr>
        <w:tabs>
          <w:tab w:val="left" w:pos="6300"/>
        </w:tabs>
        <w:snapToGrid w:val="0"/>
        <w:spacing w:line="500" w:lineRule="exact"/>
        <w:ind w:firstLine="570"/>
        <w:rPr>
          <w:rFonts w:ascii="方正仿宋_GBK" w:hAnsi="宋体" w:eastAsia="方正仿宋_GBK"/>
          <w:sz w:val="24"/>
        </w:rPr>
      </w:pPr>
    </w:p>
    <w:p>
      <w:pPr>
        <w:tabs>
          <w:tab w:val="left" w:pos="6300"/>
        </w:tabs>
        <w:snapToGrid w:val="0"/>
        <w:spacing w:line="500" w:lineRule="exact"/>
        <w:ind w:firstLine="570"/>
        <w:rPr>
          <w:rFonts w:ascii="方正仿宋_GBK" w:hAnsi="宋体" w:eastAsia="方正仿宋_GBK"/>
          <w:sz w:val="24"/>
        </w:rPr>
      </w:pPr>
    </w:p>
    <w:p>
      <w:pPr>
        <w:tabs>
          <w:tab w:val="left" w:pos="6300"/>
        </w:tabs>
        <w:snapToGrid w:val="0"/>
        <w:spacing w:line="500" w:lineRule="exact"/>
        <w:ind w:firstLine="570"/>
        <w:rPr>
          <w:rFonts w:ascii="方正仿宋_GBK" w:hAnsi="宋体" w:eastAsia="方正仿宋_GBK"/>
          <w:sz w:val="24"/>
        </w:rPr>
      </w:pPr>
    </w:p>
    <w:p>
      <w:pPr>
        <w:widowControl/>
        <w:jc w:val="left"/>
        <w:rPr>
          <w:rFonts w:ascii="方正仿宋_GBK" w:hAnsi="仿宋" w:eastAsia="方正仿宋_GBK"/>
          <w:sz w:val="24"/>
        </w:rPr>
      </w:pPr>
      <w:r>
        <w:br w:type="column"/>
      </w:r>
      <w:r>
        <w:rPr>
          <w:rFonts w:hint="eastAsia" w:ascii="方正仿宋_GBK" w:hAnsi="宋体" w:eastAsia="方正仿宋_GBK"/>
          <w:sz w:val="24"/>
        </w:rPr>
        <w:t>（</w:t>
      </w:r>
      <w:r>
        <w:rPr>
          <w:rFonts w:hint="eastAsia" w:ascii="方正仿宋_GBK" w:hAnsi="仿宋" w:eastAsia="方正仿宋_GBK"/>
          <w:sz w:val="24"/>
        </w:rPr>
        <w:t>三） 法定代表人授权委托书（格式）</w:t>
      </w:r>
    </w:p>
    <w:p>
      <w:pPr>
        <w:widowControl/>
        <w:jc w:val="center"/>
        <w:rPr>
          <w:rFonts w:ascii="方正仿宋_GBK" w:hAnsi="仿宋" w:eastAsia="方正仿宋_GBK"/>
          <w:b/>
          <w:sz w:val="36"/>
          <w:szCs w:val="36"/>
        </w:rPr>
      </w:pPr>
      <w:r>
        <w:rPr>
          <w:rFonts w:hint="eastAsia" w:ascii="方正仿宋_GBK" w:hAnsi="仿宋" w:eastAsia="方正仿宋_GBK"/>
          <w:b/>
          <w:sz w:val="36"/>
          <w:szCs w:val="36"/>
        </w:rPr>
        <w:t>授权委托书</w:t>
      </w:r>
    </w:p>
    <w:p>
      <w:pPr>
        <w:widowControl/>
        <w:jc w:val="left"/>
        <w:rPr>
          <w:rFonts w:ascii="方正仿宋_GBK" w:hAnsi="仿宋" w:eastAsia="方正仿宋_GBK"/>
          <w:sz w:val="24"/>
        </w:rPr>
      </w:pPr>
      <w:r>
        <w:rPr>
          <w:rFonts w:hint="eastAsia" w:ascii="方正仿宋_GBK" w:hAnsi="仿宋" w:eastAsia="方正仿宋_GBK"/>
          <w:sz w:val="24"/>
        </w:rPr>
        <w:t>眉山市妇幼保健院：</w:t>
      </w:r>
    </w:p>
    <w:p>
      <w:pPr>
        <w:widowControl/>
        <w:ind w:firstLine="360" w:firstLineChars="150"/>
        <w:jc w:val="left"/>
        <w:rPr>
          <w:rFonts w:ascii="方正仿宋_GBK" w:hAnsi="仿宋" w:eastAsia="方正仿宋_GBK"/>
          <w:sz w:val="24"/>
        </w:rPr>
      </w:pPr>
      <w:r>
        <w:rPr>
          <w:rFonts w:hint="eastAsia" w:ascii="方正仿宋_GBK" w:hAnsi="仿宋" w:eastAsia="方正仿宋_GBK"/>
          <w:sz w:val="24"/>
        </w:rPr>
        <w:t>（投标人法定代表人名称）是（投标人名称）的法定代表人，特授权（被授权人姓名及身份证代码）代表我单位全权办理上述项目的投标工作，并签署全部有关文件、协议。</w:t>
      </w:r>
    </w:p>
    <w:p>
      <w:pPr>
        <w:widowControl/>
        <w:jc w:val="left"/>
        <w:rPr>
          <w:rFonts w:ascii="方正仿宋_GBK" w:hAnsi="仿宋" w:eastAsia="方正仿宋_GBK"/>
          <w:sz w:val="24"/>
        </w:rPr>
      </w:pPr>
      <w:r>
        <w:rPr>
          <w:rFonts w:hint="eastAsia" w:ascii="方正仿宋_GBK" w:hAnsi="仿宋" w:eastAsia="方正仿宋_GBK"/>
          <w:sz w:val="24"/>
        </w:rPr>
        <w:t>我单位对被授权人的签署负全部责任。</w:t>
      </w:r>
    </w:p>
    <w:p>
      <w:pPr>
        <w:widowControl/>
        <w:jc w:val="left"/>
        <w:rPr>
          <w:rFonts w:ascii="方正仿宋_GBK" w:hAnsi="仿宋" w:eastAsia="方正仿宋_GBK"/>
          <w:sz w:val="24"/>
        </w:rPr>
      </w:pPr>
      <w:r>
        <w:rPr>
          <w:rFonts w:hint="eastAsia" w:ascii="方正仿宋_GBK" w:hAnsi="仿宋" w:eastAsia="方正仿宋_GBK"/>
          <w:sz w:val="24"/>
        </w:rPr>
        <w:t>在撤销授权的书面通知以前，本授权书一直有效。被授权人在授权书有效期内签署的所有文件不因授权的撤销而失效。</w:t>
      </w:r>
    </w:p>
    <w:p>
      <w:pPr>
        <w:widowControl/>
        <w:jc w:val="left"/>
        <w:rPr>
          <w:rFonts w:ascii="方正仿宋_GBK" w:hAnsi="仿宋" w:eastAsia="方正仿宋_GBK"/>
          <w:sz w:val="24"/>
        </w:rPr>
      </w:pPr>
    </w:p>
    <w:p>
      <w:pPr>
        <w:widowControl/>
        <w:jc w:val="left"/>
        <w:rPr>
          <w:rFonts w:ascii="方正仿宋_GBK" w:hAnsi="仿宋" w:eastAsia="方正仿宋_GBK"/>
          <w:sz w:val="24"/>
        </w:rPr>
      </w:pPr>
    </w:p>
    <w:p>
      <w:pPr>
        <w:widowControl/>
        <w:jc w:val="left"/>
        <w:rPr>
          <w:rFonts w:ascii="方正仿宋_GBK" w:hAnsi="仿宋" w:eastAsia="方正仿宋_GBK"/>
          <w:sz w:val="24"/>
        </w:rPr>
      </w:pPr>
      <w:r>
        <w:rPr>
          <w:rFonts w:hint="eastAsia" w:ascii="方正仿宋_GBK" w:hAnsi="仿宋" w:eastAsia="方正仿宋_GBK"/>
          <w:sz w:val="24"/>
        </w:rPr>
        <w:t>被授权人：                                 投标人法定代表人：</w:t>
      </w:r>
    </w:p>
    <w:p>
      <w:pPr>
        <w:widowControl/>
        <w:jc w:val="left"/>
        <w:rPr>
          <w:rFonts w:ascii="方正仿宋_GBK" w:hAnsi="仿宋" w:eastAsia="方正仿宋_GBK"/>
          <w:sz w:val="24"/>
        </w:rPr>
      </w:pPr>
      <w:r>
        <w:rPr>
          <w:rFonts w:hint="eastAsia" w:ascii="方正仿宋_GBK" w:hAnsi="仿宋" w:eastAsia="方正仿宋_GBK"/>
          <w:sz w:val="24"/>
        </w:rPr>
        <w:t>（签署或盖章）                                （签署或盖章）</w:t>
      </w:r>
    </w:p>
    <w:p>
      <w:pPr>
        <w:widowControl/>
        <w:jc w:val="left"/>
        <w:rPr>
          <w:rFonts w:ascii="方正仿宋_GBK" w:hAnsi="宋体" w:eastAsia="方正仿宋_GBK"/>
          <w:sz w:val="24"/>
        </w:rPr>
      </w:pPr>
    </w:p>
    <w:p>
      <w:pPr>
        <w:widowControl/>
        <w:jc w:val="left"/>
        <w:rPr>
          <w:rFonts w:ascii="方正仿宋_GBK" w:hAnsi="宋体" w:eastAsia="方正仿宋_GBK"/>
          <w:sz w:val="24"/>
        </w:rPr>
      </w:pPr>
      <w:r>
        <w:rPr>
          <w:rFonts w:hint="eastAsia" w:ascii="方正仿宋_GBK" w:hAnsi="宋体" w:eastAsia="方正仿宋_GBK"/>
          <w:sz w:val="24"/>
        </w:rPr>
        <w:t>（附：被授权人身份证正反面复印件）</w:t>
      </w:r>
    </w:p>
    <w:p>
      <w:pPr>
        <w:widowControl/>
        <w:jc w:val="left"/>
        <w:rPr>
          <w:rFonts w:ascii="方正仿宋_GBK" w:hAnsi="宋体" w:eastAsia="方正仿宋_GBK"/>
          <w:sz w:val="24"/>
        </w:rPr>
      </w:pPr>
    </w:p>
    <w:p>
      <w:pPr>
        <w:widowControl/>
        <w:ind w:firstLine="4920" w:firstLineChars="2050"/>
        <w:jc w:val="left"/>
        <w:rPr>
          <w:rFonts w:ascii="方正仿宋_GBK" w:hAnsi="宋体" w:eastAsia="方正仿宋_GBK"/>
          <w:sz w:val="24"/>
        </w:rPr>
      </w:pPr>
      <w:r>
        <w:rPr>
          <w:rFonts w:hint="eastAsia" w:ascii="方正仿宋_GBK" w:hAnsi="宋体" w:eastAsia="方正仿宋_GBK"/>
          <w:sz w:val="24"/>
        </w:rPr>
        <w:t>（投标人公章）</w:t>
      </w:r>
    </w:p>
    <w:p>
      <w:pPr>
        <w:widowControl/>
        <w:ind w:firstLine="5040" w:firstLineChars="2100"/>
        <w:jc w:val="left"/>
        <w:rPr>
          <w:rFonts w:ascii="方正仿宋_GBK" w:hAnsi="宋体" w:eastAsia="方正仿宋_GBK"/>
          <w:sz w:val="24"/>
        </w:rPr>
      </w:pPr>
      <w:r>
        <w:rPr>
          <w:rFonts w:hint="eastAsia" w:ascii="方正仿宋_GBK" w:hAnsi="宋体" w:eastAsia="方正仿宋_GBK"/>
          <w:sz w:val="24"/>
        </w:rPr>
        <w:t>年   月   日</w:t>
      </w:r>
    </w:p>
    <w:p>
      <w:pPr>
        <w:widowControl/>
        <w:jc w:val="left"/>
        <w:rPr>
          <w:rFonts w:ascii="方正仿宋_GBK" w:hAnsi="宋体" w:eastAsia="方正仿宋_GBK"/>
          <w:sz w:val="24"/>
        </w:rPr>
      </w:pPr>
      <w:r>
        <w:rPr>
          <w:rFonts w:hint="eastAsia" w:ascii="方正仿宋_GBK" w:hAnsi="宋体" w:eastAsia="方正仿宋_GBK"/>
          <w:sz w:val="24"/>
        </w:rPr>
        <w:t>被授权人电话：XXXXXXX     电子邮箱：XXXXXX@XXXXX（若法定代表人办理并签署响应文件的可不填写）</w:t>
      </w:r>
    </w:p>
    <w:p>
      <w:pPr>
        <w:widowControl/>
        <w:jc w:val="left"/>
        <w:rPr>
          <w:rFonts w:ascii="方正仿宋_GBK" w:hAnsi="宋体" w:eastAsia="方正仿宋_GBK"/>
          <w:sz w:val="24"/>
        </w:rPr>
      </w:pPr>
      <w:r>
        <w:rPr>
          <w:rFonts w:hint="eastAsia" w:ascii="方正仿宋_GBK" w:hAnsi="宋体" w:eastAsia="方正仿宋_GBK"/>
          <w:sz w:val="24"/>
        </w:rPr>
        <w:t>注：1.若为法定代表人办理并签署响应文件的，不提供此文件。</w:t>
      </w:r>
    </w:p>
    <w:p>
      <w:pPr>
        <w:rPr>
          <w:rFonts w:ascii="宋体" w:hAnsi="宋体"/>
        </w:rPr>
      </w:pPr>
    </w:p>
    <w:p>
      <w:pPr>
        <w:rPr>
          <w:rFonts w:ascii="宋体" w:hAnsi="宋体"/>
        </w:rPr>
      </w:pPr>
    </w:p>
    <w:p>
      <w:pPr>
        <w:widowControl/>
        <w:jc w:val="left"/>
        <w:rPr>
          <w:rFonts w:ascii="方正仿宋_GBK" w:hAnsi="仿宋" w:eastAsia="方正仿宋_GBK"/>
          <w:sz w:val="24"/>
        </w:rPr>
      </w:pPr>
      <w:r>
        <w:rPr>
          <w:rFonts w:hint="eastAsia" w:ascii="方正仿宋_GBK" w:hAnsi="仿宋" w:eastAsia="方正仿宋_GBK"/>
          <w:sz w:val="24"/>
        </w:rPr>
        <w:t>（四）投标函（格式）</w:t>
      </w:r>
    </w:p>
    <w:p>
      <w:pPr>
        <w:widowControl/>
        <w:jc w:val="center"/>
        <w:rPr>
          <w:rFonts w:ascii="方正仿宋_GBK" w:hAnsi="仿宋" w:eastAsia="方正仿宋_GBK"/>
          <w:b/>
          <w:sz w:val="36"/>
          <w:szCs w:val="36"/>
        </w:rPr>
      </w:pPr>
      <w:r>
        <w:rPr>
          <w:rFonts w:hint="eastAsia" w:ascii="方正仿宋_GBK" w:hAnsi="仿宋" w:eastAsia="方正仿宋_GBK"/>
          <w:b/>
          <w:sz w:val="36"/>
          <w:szCs w:val="36"/>
        </w:rPr>
        <w:t>投标函</w:t>
      </w:r>
    </w:p>
    <w:p>
      <w:pPr>
        <w:widowControl/>
        <w:jc w:val="left"/>
        <w:rPr>
          <w:rFonts w:ascii="方正仿宋_GBK" w:hAnsi="仿宋" w:eastAsia="方正仿宋_GBK"/>
          <w:sz w:val="24"/>
        </w:rPr>
      </w:pPr>
      <w:r>
        <w:rPr>
          <w:rFonts w:hint="eastAsia" w:ascii="方正仿宋_GBK" w:hAnsi="仿宋" w:eastAsia="方正仿宋_GBK"/>
          <w:sz w:val="24"/>
        </w:rPr>
        <w:t>眉山市妇幼保健院：</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我方就参加本次投标有关事项郑重声明如下：</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一、我方完全理解并接受该项目招标文件所有要求。</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二、我方完全满足该项目招标公告中提出的合格投标单位基本资格条件，如有虚假或隐瞒，我方愿意承担一切法律责任。</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三、我方提交的所有投标文件、资料都是准确和真实的，如有虚假或隐瞒，我方愿意承担一切法律责任。</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四、我方承诺按照招标文件要求，提供招标项目的技术服务。</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五、我方按招标文件要求提交的投标文件为：投标文件正本1份，副本1份。</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六、如果我方中标，我方将履行招标文件中规定的各项要求以及我方投标文件的各项承诺，按《政府采购法》、《民法典》及合同约定条款承担我方责任。</w:t>
      </w:r>
    </w:p>
    <w:p>
      <w:pPr>
        <w:widowControl/>
        <w:jc w:val="left"/>
        <w:rPr>
          <w:rFonts w:ascii="方正仿宋_GBK" w:hAnsi="仿宋" w:eastAsia="方正仿宋_GBK"/>
          <w:sz w:val="24"/>
        </w:rPr>
      </w:pPr>
    </w:p>
    <w:p>
      <w:pPr>
        <w:widowControl/>
        <w:jc w:val="left"/>
        <w:rPr>
          <w:rFonts w:ascii="方正仿宋_GBK" w:hAnsi="仿宋" w:eastAsia="方正仿宋_GBK"/>
          <w:sz w:val="24"/>
        </w:rPr>
      </w:pPr>
    </w:p>
    <w:p>
      <w:pPr>
        <w:widowControl/>
        <w:ind w:firstLine="4200" w:firstLineChars="1750"/>
        <w:jc w:val="left"/>
        <w:rPr>
          <w:rFonts w:ascii="方正仿宋_GBK" w:hAnsi="仿宋" w:eastAsia="方正仿宋_GBK"/>
          <w:sz w:val="24"/>
        </w:rPr>
      </w:pPr>
      <w:r>
        <w:rPr>
          <w:rFonts w:hint="eastAsia" w:ascii="方正仿宋_GBK" w:hAnsi="仿宋" w:eastAsia="方正仿宋_GBK"/>
          <w:sz w:val="24"/>
        </w:rPr>
        <w:t xml:space="preserve">（投标人公章）                </w:t>
      </w:r>
    </w:p>
    <w:p>
      <w:pPr>
        <w:widowControl/>
        <w:ind w:firstLine="4440" w:firstLineChars="1850"/>
        <w:jc w:val="left"/>
        <w:rPr>
          <w:rFonts w:ascii="方正仿宋_GBK" w:hAnsi="仿宋" w:eastAsia="方正仿宋_GBK"/>
          <w:sz w:val="24"/>
        </w:rPr>
      </w:pPr>
      <w:r>
        <w:rPr>
          <w:rFonts w:hint="eastAsia" w:ascii="方正仿宋_GBK" w:hAnsi="仿宋" w:eastAsia="方正仿宋_GBK"/>
          <w:sz w:val="24"/>
        </w:rPr>
        <w:t>年    月   日</w:t>
      </w:r>
    </w:p>
    <w:p>
      <w:pPr>
        <w:widowControl/>
        <w:jc w:val="left"/>
        <w:rPr>
          <w:rFonts w:ascii="方正仿宋_GBK" w:hAnsi="仿宋" w:eastAsia="方正仿宋_GBK"/>
          <w:sz w:val="24"/>
        </w:rPr>
      </w:pPr>
    </w:p>
    <w:p>
      <w:pPr>
        <w:rPr>
          <w:rFonts w:ascii="仿宋" w:hAnsi="仿宋" w:eastAsia="仿宋"/>
          <w:sz w:val="24"/>
        </w:rPr>
      </w:pPr>
    </w:p>
    <w:p>
      <w:pPr>
        <w:rPr>
          <w:rFonts w:ascii="仿宋" w:hAnsi="仿宋" w:eastAsia="仿宋"/>
          <w:sz w:val="24"/>
        </w:rPr>
      </w:pPr>
    </w:p>
    <w:p>
      <w:pPr>
        <w:rPr>
          <w:rFonts w:ascii="仿宋" w:hAnsi="仿宋" w:eastAsia="仿宋"/>
          <w:sz w:val="24"/>
        </w:rPr>
      </w:pPr>
    </w:p>
    <w:p>
      <w:pPr>
        <w:rPr>
          <w:rFonts w:ascii="仿宋" w:hAnsi="仿宋" w:eastAsia="仿宋"/>
          <w:sz w:val="24"/>
        </w:rPr>
      </w:pPr>
    </w:p>
    <w:p>
      <w:pPr>
        <w:rPr>
          <w:rFonts w:ascii="仿宋" w:hAnsi="仿宋" w:eastAsia="仿宋"/>
          <w:sz w:val="24"/>
        </w:rPr>
      </w:pPr>
    </w:p>
    <w:p>
      <w:pPr>
        <w:rPr>
          <w:rFonts w:ascii="仿宋" w:hAnsi="仿宋" w:eastAsia="仿宋"/>
          <w:sz w:val="24"/>
        </w:rPr>
      </w:pPr>
    </w:p>
    <w:p>
      <w:pPr>
        <w:widowControl/>
        <w:jc w:val="left"/>
        <w:rPr>
          <w:rFonts w:ascii="方正仿宋_GBK" w:hAnsi="仿宋" w:eastAsia="方正仿宋_GBK"/>
          <w:sz w:val="24"/>
        </w:rPr>
      </w:pPr>
      <w:r>
        <w:rPr>
          <w:rFonts w:hint="eastAsia" w:ascii="方正仿宋_GBK" w:hAnsi="仿宋" w:eastAsia="方正仿宋_GBK"/>
          <w:sz w:val="24"/>
        </w:rPr>
        <w:t>（五）基本资格条件承诺函</w:t>
      </w:r>
    </w:p>
    <w:p>
      <w:pPr>
        <w:widowControl/>
        <w:jc w:val="left"/>
        <w:rPr>
          <w:rFonts w:ascii="方正仿宋_GBK" w:hAnsi="仿宋" w:eastAsia="方正仿宋_GBK"/>
          <w:sz w:val="24"/>
        </w:rPr>
      </w:pPr>
    </w:p>
    <w:p>
      <w:pPr>
        <w:widowControl/>
        <w:jc w:val="center"/>
        <w:rPr>
          <w:rFonts w:ascii="方正仿宋_GBK" w:hAnsi="仿宋" w:eastAsia="方正仿宋_GBK"/>
          <w:b/>
          <w:sz w:val="36"/>
          <w:szCs w:val="36"/>
        </w:rPr>
      </w:pPr>
      <w:r>
        <w:rPr>
          <w:rFonts w:hint="eastAsia" w:ascii="方正仿宋_GBK" w:hAnsi="仿宋" w:eastAsia="方正仿宋_GBK"/>
          <w:b/>
          <w:sz w:val="36"/>
          <w:szCs w:val="36"/>
        </w:rPr>
        <w:t>基本资格条件承诺函</w:t>
      </w:r>
    </w:p>
    <w:p>
      <w:pPr>
        <w:widowControl/>
        <w:jc w:val="left"/>
        <w:rPr>
          <w:rFonts w:ascii="方正仿宋_GBK" w:hAnsi="仿宋" w:eastAsia="方正仿宋_GBK"/>
          <w:sz w:val="24"/>
        </w:rPr>
      </w:pPr>
      <w:r>
        <w:rPr>
          <w:rFonts w:hint="eastAsia" w:ascii="方正仿宋_GBK" w:hAnsi="仿宋" w:eastAsia="方正仿宋_GBK"/>
          <w:sz w:val="24"/>
        </w:rPr>
        <w:t>眉山市妇幼保健院：</w:t>
      </w:r>
    </w:p>
    <w:p>
      <w:pPr>
        <w:widowControl/>
        <w:ind w:firstLine="360" w:firstLineChars="150"/>
        <w:jc w:val="left"/>
        <w:rPr>
          <w:rFonts w:ascii="方正仿宋_GBK" w:hAnsi="仿宋" w:eastAsia="方正仿宋_GBK"/>
          <w:sz w:val="24"/>
        </w:rPr>
      </w:pPr>
      <w:r>
        <w:rPr>
          <w:rFonts w:hint="eastAsia" w:ascii="方正仿宋_GBK" w:hAnsi="仿宋" w:eastAsia="方正仿宋_GBK"/>
          <w:sz w:val="24"/>
        </w:rPr>
        <w:t>（投标人名称）郑重承诺：</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1.我方具有良好的商业信誉和健全的财务会计制度，具有履行合同所必需的设备和专业技术能力，具有依法缴纳税收和社会保障金的良好记录，参加本项目采购活动前三年内无重大违法活动记录。</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我方对以上承诺负全部法律责任。</w:t>
      </w:r>
    </w:p>
    <w:p>
      <w:pPr>
        <w:widowControl/>
        <w:ind w:firstLine="480" w:firstLineChars="200"/>
        <w:jc w:val="left"/>
        <w:rPr>
          <w:rFonts w:ascii="方正仿宋_GBK" w:hAnsi="仿宋" w:eastAsia="方正仿宋_GBK"/>
          <w:sz w:val="24"/>
        </w:rPr>
      </w:pPr>
      <w:r>
        <w:rPr>
          <w:rFonts w:hint="eastAsia" w:ascii="方正仿宋_GBK" w:hAnsi="仿宋" w:eastAsia="方正仿宋_GBK"/>
          <w:sz w:val="24"/>
        </w:rPr>
        <w:t>特此承诺。</w:t>
      </w:r>
    </w:p>
    <w:p>
      <w:pPr>
        <w:widowControl/>
        <w:jc w:val="left"/>
        <w:rPr>
          <w:rFonts w:ascii="方正仿宋_GBK" w:hAnsi="仿宋" w:eastAsia="方正仿宋_GBK"/>
          <w:sz w:val="24"/>
        </w:rPr>
      </w:pPr>
    </w:p>
    <w:p>
      <w:pPr>
        <w:widowControl/>
        <w:ind w:firstLine="4560" w:firstLineChars="1900"/>
        <w:jc w:val="left"/>
        <w:rPr>
          <w:rFonts w:ascii="方正仿宋_GBK" w:hAnsi="仿宋" w:eastAsia="方正仿宋_GBK"/>
          <w:sz w:val="24"/>
        </w:rPr>
      </w:pPr>
      <w:r>
        <w:rPr>
          <w:rFonts w:hint="eastAsia" w:ascii="方正仿宋_GBK" w:hAnsi="仿宋" w:eastAsia="方正仿宋_GBK"/>
          <w:sz w:val="24"/>
        </w:rPr>
        <w:t>（投标人公章）</w:t>
      </w:r>
    </w:p>
    <w:p>
      <w:pPr>
        <w:widowControl/>
        <w:ind w:firstLine="4680" w:firstLineChars="1950"/>
        <w:jc w:val="left"/>
        <w:rPr>
          <w:rFonts w:ascii="方正仿宋_GBK" w:hAnsi="仿宋" w:eastAsia="方正仿宋_GBK"/>
          <w:sz w:val="24"/>
        </w:rPr>
      </w:pPr>
      <w:r>
        <w:rPr>
          <w:rFonts w:hint="eastAsia" w:ascii="方正仿宋_GBK" w:hAnsi="仿宋" w:eastAsia="方正仿宋_GBK"/>
          <w:sz w:val="24"/>
        </w:rPr>
        <w:t>年   月   日</w:t>
      </w:r>
    </w:p>
    <w:p>
      <w:pPr>
        <w:widowControl/>
        <w:jc w:val="left"/>
        <w:rPr>
          <w:rFonts w:ascii="方正仿宋_GBK" w:hAnsi="仿宋" w:eastAsia="方正仿宋_GBK"/>
          <w:sz w:val="24"/>
        </w:rPr>
      </w:pPr>
      <w:r>
        <w:rPr>
          <w:rFonts w:ascii="方正仿宋_GBK" w:hAnsi="仿宋" w:eastAsia="方正仿宋_GBK"/>
          <w:sz w:val="24"/>
        </w:rPr>
        <w:br w:type="page"/>
      </w:r>
    </w:p>
    <w:p>
      <w:pPr>
        <w:widowControl/>
        <w:jc w:val="left"/>
        <w:rPr>
          <w:rFonts w:ascii="方正仿宋_GBK" w:hAnsi="仿宋" w:eastAsia="方正仿宋_GBK"/>
          <w:sz w:val="24"/>
        </w:rPr>
      </w:pPr>
      <w:r>
        <w:rPr>
          <w:rFonts w:hint="eastAsia" w:ascii="方正仿宋_GBK" w:hAnsi="仿宋" w:eastAsia="方正仿宋_GBK"/>
          <w:sz w:val="24"/>
        </w:rPr>
        <w:t>（六）特定资格条件证明文件（若有）</w:t>
      </w:r>
    </w:p>
    <w:p>
      <w:pPr>
        <w:widowControl/>
        <w:jc w:val="left"/>
        <w:rPr>
          <w:rFonts w:ascii="方正仿宋_GBK" w:hAnsi="仿宋" w:eastAsia="方正仿宋_GBK"/>
          <w:sz w:val="24"/>
        </w:rPr>
      </w:pPr>
    </w:p>
    <w:p>
      <w:pPr>
        <w:widowControl/>
        <w:jc w:val="left"/>
        <w:rPr>
          <w:rFonts w:ascii="方正仿宋_GBK" w:hAnsi="仿宋" w:eastAsia="方正仿宋_GBK"/>
          <w:sz w:val="24"/>
        </w:rPr>
      </w:pPr>
    </w:p>
    <w:p>
      <w:pPr>
        <w:widowControl/>
        <w:jc w:val="left"/>
        <w:rPr>
          <w:rFonts w:ascii="方正仿宋_GBK" w:hAnsi="仿宋" w:eastAsia="方正仿宋_GBK"/>
          <w:sz w:val="24"/>
        </w:rPr>
      </w:pPr>
    </w:p>
    <w:p>
      <w:pPr>
        <w:widowControl/>
        <w:jc w:val="left"/>
        <w:rPr>
          <w:rFonts w:ascii="方正仿宋_GBK" w:hAnsi="仿宋"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r>
        <w:rPr>
          <w:rFonts w:hint="eastAsia" w:ascii="方正仿宋_GBK" w:hAnsi="宋体" w:eastAsia="方正仿宋_GBK"/>
          <w:sz w:val="24"/>
        </w:rPr>
        <w:t>五、其他与项目有关的资料</w:t>
      </w:r>
    </w:p>
    <w:p>
      <w:pPr>
        <w:rPr>
          <w:rFonts w:ascii="方正仿宋_GBK" w:hAnsi="宋体" w:eastAsia="方正仿宋_GBK"/>
          <w:sz w:val="24"/>
        </w:rPr>
      </w:pPr>
      <w:r>
        <w:rPr>
          <w:rFonts w:hint="eastAsia" w:ascii="方正仿宋_GBK" w:hAnsi="宋体" w:eastAsia="方正仿宋_GBK"/>
          <w:sz w:val="24"/>
        </w:rPr>
        <w:t>（一）</w:t>
      </w:r>
      <w:r>
        <w:rPr>
          <w:rFonts w:ascii="方正仿宋_GBK" w:hAnsi="宋体" w:eastAsia="方正仿宋_GBK"/>
          <w:sz w:val="24"/>
        </w:rPr>
        <w:t>业绩证明</w:t>
      </w:r>
    </w:p>
    <w:tbl>
      <w:tblPr>
        <w:tblStyle w:val="11"/>
        <w:tblW w:w="7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51"/>
        <w:gridCol w:w="2444"/>
        <w:gridCol w:w="1701"/>
        <w:gridCol w:w="1134"/>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75" w:type="dxa"/>
            <w:vAlign w:val="center"/>
          </w:tcPr>
          <w:p>
            <w:pPr>
              <w:rPr>
                <w:rFonts w:ascii="方正仿宋_GBK" w:hAnsi="宋体" w:eastAsia="方正仿宋_GBK"/>
                <w:sz w:val="24"/>
              </w:rPr>
            </w:pPr>
            <w:r>
              <w:rPr>
                <w:rFonts w:ascii="方正仿宋_GBK" w:hAnsi="宋体" w:eastAsia="方正仿宋_GBK"/>
                <w:sz w:val="24"/>
              </w:rPr>
              <w:t>序号</w:t>
            </w:r>
          </w:p>
        </w:tc>
        <w:tc>
          <w:tcPr>
            <w:tcW w:w="851" w:type="dxa"/>
            <w:vAlign w:val="center"/>
          </w:tcPr>
          <w:p>
            <w:pPr>
              <w:rPr>
                <w:rFonts w:ascii="方正仿宋_GBK" w:hAnsi="宋体" w:eastAsia="方正仿宋_GBK"/>
                <w:sz w:val="24"/>
              </w:rPr>
            </w:pPr>
            <w:r>
              <w:rPr>
                <w:rFonts w:ascii="方正仿宋_GBK" w:hAnsi="宋体" w:eastAsia="方正仿宋_GBK"/>
                <w:sz w:val="24"/>
              </w:rPr>
              <w:t>年份</w:t>
            </w:r>
          </w:p>
        </w:tc>
        <w:tc>
          <w:tcPr>
            <w:tcW w:w="2444" w:type="dxa"/>
            <w:vAlign w:val="center"/>
          </w:tcPr>
          <w:p>
            <w:pPr>
              <w:rPr>
                <w:rFonts w:ascii="方正仿宋_GBK" w:hAnsi="宋体" w:eastAsia="方正仿宋_GBK"/>
                <w:sz w:val="24"/>
              </w:rPr>
            </w:pPr>
            <w:r>
              <w:rPr>
                <w:rFonts w:ascii="方正仿宋_GBK" w:hAnsi="宋体" w:eastAsia="方正仿宋_GBK"/>
                <w:sz w:val="24"/>
              </w:rPr>
              <w:t>用户单位名称及部门</w:t>
            </w:r>
          </w:p>
        </w:tc>
        <w:tc>
          <w:tcPr>
            <w:tcW w:w="1701" w:type="dxa"/>
            <w:vAlign w:val="center"/>
          </w:tcPr>
          <w:p>
            <w:pPr>
              <w:rPr>
                <w:rFonts w:ascii="方正仿宋_GBK" w:hAnsi="宋体" w:eastAsia="方正仿宋_GBK"/>
                <w:sz w:val="24"/>
              </w:rPr>
            </w:pPr>
            <w:r>
              <w:rPr>
                <w:rFonts w:ascii="方正仿宋_GBK" w:hAnsi="宋体" w:eastAsia="方正仿宋_GBK"/>
                <w:sz w:val="24"/>
              </w:rPr>
              <w:t>产品名称及型号</w:t>
            </w:r>
          </w:p>
        </w:tc>
        <w:tc>
          <w:tcPr>
            <w:tcW w:w="1134" w:type="dxa"/>
            <w:vAlign w:val="center"/>
          </w:tcPr>
          <w:p>
            <w:pPr>
              <w:rPr>
                <w:rFonts w:ascii="方正仿宋_GBK" w:hAnsi="宋体" w:eastAsia="方正仿宋_GBK"/>
                <w:sz w:val="24"/>
              </w:rPr>
            </w:pPr>
            <w:r>
              <w:rPr>
                <w:rFonts w:ascii="方正仿宋_GBK" w:hAnsi="宋体" w:eastAsia="方正仿宋_GBK"/>
                <w:sz w:val="24"/>
              </w:rPr>
              <w:t>合同金额</w:t>
            </w:r>
          </w:p>
        </w:tc>
        <w:tc>
          <w:tcPr>
            <w:tcW w:w="850" w:type="dxa"/>
            <w:vAlign w:val="center"/>
          </w:tcPr>
          <w:p>
            <w:pPr>
              <w:rPr>
                <w:rFonts w:ascii="方正仿宋_GBK" w:hAnsi="宋体" w:eastAsia="方正仿宋_GBK"/>
                <w:sz w:val="24"/>
              </w:rPr>
            </w:pPr>
            <w:r>
              <w:rPr>
                <w:rFonts w:ascii="方正仿宋_GBK" w:hAnsi="宋体" w:eastAsia="方正仿宋_GBK"/>
                <w:sz w:val="24"/>
              </w:rPr>
              <w:t>证明文件页码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rPr>
                <w:rFonts w:ascii="方正仿宋_GBK" w:hAnsi="宋体" w:eastAsia="方正仿宋_GBK"/>
                <w:sz w:val="24"/>
              </w:rPr>
            </w:pPr>
            <w:r>
              <w:rPr>
                <w:rFonts w:ascii="方正仿宋_GBK" w:hAnsi="宋体" w:eastAsia="方正仿宋_GBK"/>
                <w:sz w:val="24"/>
              </w:rPr>
              <w:t>1</w:t>
            </w:r>
          </w:p>
        </w:tc>
        <w:tc>
          <w:tcPr>
            <w:tcW w:w="851" w:type="dxa"/>
            <w:vAlign w:val="center"/>
          </w:tcPr>
          <w:p>
            <w:pPr>
              <w:rPr>
                <w:rFonts w:ascii="方正仿宋_GBK" w:hAnsi="宋体" w:eastAsia="方正仿宋_GBK"/>
                <w:sz w:val="24"/>
              </w:rPr>
            </w:pPr>
          </w:p>
        </w:tc>
        <w:tc>
          <w:tcPr>
            <w:tcW w:w="2444" w:type="dxa"/>
            <w:vAlign w:val="center"/>
          </w:tcPr>
          <w:p>
            <w:pPr>
              <w:rPr>
                <w:rFonts w:ascii="方正仿宋_GBK" w:hAnsi="宋体" w:eastAsia="方正仿宋_GBK"/>
                <w:sz w:val="24"/>
              </w:rPr>
            </w:pPr>
          </w:p>
        </w:tc>
        <w:tc>
          <w:tcPr>
            <w:tcW w:w="1701" w:type="dxa"/>
            <w:vAlign w:val="center"/>
          </w:tcPr>
          <w:p>
            <w:pPr>
              <w:rPr>
                <w:rFonts w:ascii="方正仿宋_GBK" w:hAnsi="宋体" w:eastAsia="方正仿宋_GBK"/>
                <w:sz w:val="24"/>
              </w:rPr>
            </w:pPr>
          </w:p>
        </w:tc>
        <w:tc>
          <w:tcPr>
            <w:tcW w:w="1134" w:type="dxa"/>
            <w:vAlign w:val="center"/>
          </w:tcPr>
          <w:p>
            <w:pPr>
              <w:rPr>
                <w:rFonts w:ascii="方正仿宋_GBK" w:hAnsi="宋体" w:eastAsia="方正仿宋_GBK"/>
                <w:sz w:val="24"/>
              </w:rPr>
            </w:pPr>
          </w:p>
        </w:tc>
        <w:tc>
          <w:tcPr>
            <w:tcW w:w="850" w:type="dxa"/>
            <w:vAlign w:val="center"/>
          </w:tcPr>
          <w:p>
            <w:pPr>
              <w:rPr>
                <w:rFonts w:ascii="方正仿宋_GBK" w:hAnsi="宋体"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rPr>
                <w:rFonts w:ascii="方正仿宋_GBK" w:hAnsi="宋体" w:eastAsia="方正仿宋_GBK"/>
                <w:sz w:val="24"/>
              </w:rPr>
            </w:pPr>
            <w:r>
              <w:rPr>
                <w:rFonts w:ascii="方正仿宋_GBK" w:hAnsi="宋体" w:eastAsia="方正仿宋_GBK"/>
                <w:sz w:val="24"/>
              </w:rPr>
              <w:t>2</w:t>
            </w:r>
          </w:p>
        </w:tc>
        <w:tc>
          <w:tcPr>
            <w:tcW w:w="851" w:type="dxa"/>
            <w:vAlign w:val="center"/>
          </w:tcPr>
          <w:p>
            <w:pPr>
              <w:rPr>
                <w:rFonts w:ascii="方正仿宋_GBK" w:hAnsi="宋体" w:eastAsia="方正仿宋_GBK"/>
                <w:sz w:val="24"/>
              </w:rPr>
            </w:pPr>
          </w:p>
        </w:tc>
        <w:tc>
          <w:tcPr>
            <w:tcW w:w="2444" w:type="dxa"/>
            <w:vAlign w:val="center"/>
          </w:tcPr>
          <w:p>
            <w:pPr>
              <w:rPr>
                <w:rFonts w:ascii="方正仿宋_GBK" w:hAnsi="宋体" w:eastAsia="方正仿宋_GBK"/>
                <w:sz w:val="24"/>
              </w:rPr>
            </w:pPr>
          </w:p>
        </w:tc>
        <w:tc>
          <w:tcPr>
            <w:tcW w:w="1701" w:type="dxa"/>
            <w:vAlign w:val="center"/>
          </w:tcPr>
          <w:p>
            <w:pPr>
              <w:rPr>
                <w:rFonts w:ascii="方正仿宋_GBK" w:hAnsi="宋体" w:eastAsia="方正仿宋_GBK"/>
                <w:sz w:val="24"/>
              </w:rPr>
            </w:pPr>
          </w:p>
        </w:tc>
        <w:tc>
          <w:tcPr>
            <w:tcW w:w="1134" w:type="dxa"/>
            <w:vAlign w:val="center"/>
          </w:tcPr>
          <w:p>
            <w:pPr>
              <w:rPr>
                <w:rFonts w:ascii="方正仿宋_GBK" w:hAnsi="宋体" w:eastAsia="方正仿宋_GBK"/>
                <w:sz w:val="24"/>
              </w:rPr>
            </w:pPr>
          </w:p>
        </w:tc>
        <w:tc>
          <w:tcPr>
            <w:tcW w:w="850" w:type="dxa"/>
            <w:vAlign w:val="center"/>
          </w:tcPr>
          <w:p>
            <w:pPr>
              <w:rPr>
                <w:rFonts w:ascii="方正仿宋_GBK" w:hAnsi="宋体"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rPr>
                <w:rFonts w:ascii="方正仿宋_GBK" w:hAnsi="宋体" w:eastAsia="方正仿宋_GBK"/>
                <w:sz w:val="24"/>
              </w:rPr>
            </w:pPr>
            <w:r>
              <w:rPr>
                <w:rFonts w:ascii="方正仿宋_GBK" w:hAnsi="宋体" w:eastAsia="方正仿宋_GBK"/>
                <w:sz w:val="24"/>
              </w:rPr>
              <w:t>…</w:t>
            </w:r>
          </w:p>
        </w:tc>
        <w:tc>
          <w:tcPr>
            <w:tcW w:w="851" w:type="dxa"/>
            <w:vAlign w:val="center"/>
          </w:tcPr>
          <w:p>
            <w:pPr>
              <w:rPr>
                <w:rFonts w:ascii="方正仿宋_GBK" w:hAnsi="宋体" w:eastAsia="方正仿宋_GBK"/>
                <w:sz w:val="24"/>
              </w:rPr>
            </w:pPr>
          </w:p>
        </w:tc>
        <w:tc>
          <w:tcPr>
            <w:tcW w:w="2444" w:type="dxa"/>
            <w:vAlign w:val="center"/>
          </w:tcPr>
          <w:p>
            <w:pPr>
              <w:rPr>
                <w:rFonts w:ascii="方正仿宋_GBK" w:hAnsi="宋体" w:eastAsia="方正仿宋_GBK"/>
                <w:sz w:val="24"/>
              </w:rPr>
            </w:pPr>
          </w:p>
        </w:tc>
        <w:tc>
          <w:tcPr>
            <w:tcW w:w="1701" w:type="dxa"/>
            <w:vAlign w:val="center"/>
          </w:tcPr>
          <w:p>
            <w:pPr>
              <w:rPr>
                <w:rFonts w:ascii="方正仿宋_GBK" w:hAnsi="宋体" w:eastAsia="方正仿宋_GBK"/>
                <w:sz w:val="24"/>
              </w:rPr>
            </w:pPr>
          </w:p>
        </w:tc>
        <w:tc>
          <w:tcPr>
            <w:tcW w:w="1134" w:type="dxa"/>
            <w:vAlign w:val="center"/>
          </w:tcPr>
          <w:p>
            <w:pPr>
              <w:rPr>
                <w:rFonts w:ascii="方正仿宋_GBK" w:hAnsi="宋体" w:eastAsia="方正仿宋_GBK"/>
                <w:sz w:val="24"/>
              </w:rPr>
            </w:pPr>
          </w:p>
        </w:tc>
        <w:tc>
          <w:tcPr>
            <w:tcW w:w="850" w:type="dxa"/>
            <w:vAlign w:val="center"/>
          </w:tcPr>
          <w:p>
            <w:pPr>
              <w:rPr>
                <w:rFonts w:ascii="方正仿宋_GBK" w:hAnsi="宋体" w:eastAsia="方正仿宋_GBK"/>
                <w:sz w:val="24"/>
              </w:rPr>
            </w:pPr>
          </w:p>
        </w:tc>
      </w:tr>
    </w:tbl>
    <w:p>
      <w:pPr>
        <w:rPr>
          <w:rFonts w:ascii="方正仿宋_GBK" w:hAnsi="宋体" w:eastAsia="方正仿宋_GBK"/>
          <w:sz w:val="24"/>
        </w:rPr>
      </w:pPr>
      <w:r>
        <w:rPr>
          <w:rFonts w:hint="eastAsia" w:ascii="方正仿宋_GBK" w:hAnsi="宋体" w:eastAsia="方正仿宋_GBK"/>
          <w:sz w:val="24"/>
        </w:rPr>
        <w:t>未在四川省药械集中采购及医药价格监管平台挂网产品需提供</w:t>
      </w:r>
      <w:r>
        <w:rPr>
          <w:rFonts w:ascii="方正仿宋_GBK" w:hAnsi="宋体" w:eastAsia="方正仿宋_GBK"/>
          <w:sz w:val="24"/>
        </w:rPr>
        <w:t>证明文件（以投标人提供的合同、供货协议、发票复印件/扫描件等证明文件为准）</w:t>
      </w:r>
    </w:p>
    <w:p>
      <w:pPr>
        <w:rPr>
          <w:rFonts w:ascii="方正仿宋_GBK" w:hAnsi="宋体" w:eastAsia="方正仿宋_GBK"/>
          <w:sz w:val="24"/>
        </w:rPr>
      </w:pPr>
    </w:p>
    <w:p>
      <w:pPr>
        <w:rPr>
          <w:rFonts w:ascii="方正仿宋_GBK" w:hAnsi="宋体" w:eastAsia="方正仿宋_GBK"/>
          <w:sz w:val="24"/>
        </w:rPr>
      </w:pPr>
    </w:p>
    <w:p>
      <w:pPr>
        <w:rPr>
          <w:rFonts w:ascii="宋体" w:hAnsi="宋体"/>
          <w:kern w:val="0"/>
          <w:szCs w:val="21"/>
        </w:rPr>
      </w:pPr>
      <w:r>
        <w:rPr>
          <w:rFonts w:hint="eastAsia" w:ascii="方正仿宋_GBK" w:hAnsi="宋体" w:eastAsia="方正仿宋_GBK"/>
          <w:sz w:val="24"/>
        </w:rPr>
        <w:t>（二</w:t>
      </w:r>
      <w:r>
        <w:rPr>
          <w:rFonts w:ascii="方正仿宋_GBK" w:hAnsi="宋体" w:eastAsia="方正仿宋_GBK"/>
          <w:sz w:val="24"/>
        </w:rPr>
        <w:t>）</w:t>
      </w:r>
      <w:r>
        <w:rPr>
          <w:rFonts w:hint="eastAsia" w:ascii="方正仿宋_GBK" w:hAnsi="宋体" w:eastAsia="方正仿宋_GBK"/>
          <w:sz w:val="24"/>
        </w:rPr>
        <w:t xml:space="preserve">授权书  </w:t>
      </w:r>
      <w:r>
        <w:rPr>
          <w:rFonts w:hint="eastAsia" w:ascii="宋体" w:hAnsi="宋体"/>
          <w:kern w:val="0"/>
          <w:szCs w:val="21"/>
        </w:rPr>
        <w:t>注：</w:t>
      </w:r>
      <w:r>
        <w:rPr>
          <w:rFonts w:ascii="宋体" w:hAnsi="宋体"/>
          <w:kern w:val="0"/>
          <w:szCs w:val="21"/>
        </w:rPr>
        <w:t>生产商授权</w:t>
      </w:r>
      <w:r>
        <w:rPr>
          <w:rFonts w:hint="eastAsia" w:ascii="宋体" w:hAnsi="宋体"/>
          <w:kern w:val="0"/>
          <w:szCs w:val="21"/>
        </w:rPr>
        <w:t>（如不涉及可不提供）</w:t>
      </w:r>
    </w:p>
    <w:p>
      <w:pPr>
        <w:rPr>
          <w:rFonts w:ascii="宋体" w:hAnsi="宋体"/>
          <w:kern w:val="0"/>
          <w:szCs w:val="21"/>
        </w:rPr>
      </w:pPr>
    </w:p>
    <w:p>
      <w:pPr>
        <w:rPr>
          <w:rFonts w:ascii="宋体" w:hAnsi="宋体"/>
          <w:kern w:val="0"/>
          <w:szCs w:val="21"/>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p>
    <w:p>
      <w:pPr>
        <w:rPr>
          <w:rFonts w:ascii="方正仿宋_GBK" w:hAnsi="宋体" w:eastAsia="方正仿宋_GBK"/>
          <w:sz w:val="24"/>
        </w:rPr>
      </w:pPr>
      <w:r>
        <w:rPr>
          <w:rFonts w:hint="eastAsia" w:ascii="方正仿宋_GBK" w:hAnsi="宋体" w:eastAsia="方正仿宋_GBK"/>
          <w:sz w:val="24"/>
        </w:rPr>
        <w:t>（三）其他</w:t>
      </w:r>
    </w:p>
    <w:p>
      <w:pPr>
        <w:rPr>
          <w:rFonts w:ascii="方正仿宋_GBK" w:hAnsi="宋体" w:eastAsia="方正仿宋_GBK"/>
          <w:sz w:val="24"/>
        </w:rPr>
      </w:pPr>
    </w:p>
    <w:p>
      <w:pPr>
        <w:rPr>
          <w:rFonts w:ascii="宋体" w:hAnsi="宋体"/>
          <w:b/>
          <w:szCs w:val="21"/>
        </w:rPr>
      </w:pPr>
    </w:p>
    <w:p>
      <w:pPr>
        <w:tabs>
          <w:tab w:val="left" w:pos="6300"/>
        </w:tabs>
        <w:snapToGrid w:val="0"/>
        <w:spacing w:line="500" w:lineRule="exact"/>
        <w:ind w:firstLine="570"/>
        <w:rPr>
          <w:rFonts w:ascii="宋体" w:hAnsi="宋体"/>
        </w:rPr>
      </w:pPr>
    </w:p>
    <w:p>
      <w:pPr>
        <w:tabs>
          <w:tab w:val="left" w:pos="6300"/>
        </w:tabs>
        <w:snapToGrid w:val="0"/>
        <w:spacing w:line="500" w:lineRule="exact"/>
        <w:ind w:firstLine="570"/>
        <w:rPr>
          <w:rFonts w:ascii="宋体" w:hAnsi="宋体"/>
        </w:rPr>
      </w:pPr>
    </w:p>
    <w:p>
      <w:pPr>
        <w:rPr>
          <w:rFonts w:ascii="方正仿宋_GBK" w:hAnsi="宋体" w:eastAsia="方正仿宋_GBK"/>
          <w:sz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_GBK">
    <w:altName w:val="微软雅黑"/>
    <w:panose1 w:val="00000000000000000000"/>
    <w:charset w:val="86"/>
    <w:family w:val="script"/>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1025" o:spid="_x0000_s1025"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8</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Style w:val="13"/>
      </w:rPr>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path/>
          <v:fill on="f" focussize="0,0"/>
          <v:stroke on="f" weight="0.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w:r>
  </w:p>
  <w:p>
    <w:pPr>
      <w:pStyle w:val="8"/>
      <w:rPr>
        <w:rFonts w:ascii="宋体" w:hAnsi="宋体"/>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both"/>
      <w:rPr>
        <w:rFonts w:ascii="方正仿宋_GBK" w:eastAsia="方正仿宋_GBK"/>
        <w:sz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0A67F6"/>
    <w:multiLevelType w:val="multilevel"/>
    <w:tmpl w:val="110A67F6"/>
    <w:lvl w:ilvl="0" w:tentative="0">
      <w:start w:val="1"/>
      <w:numFmt w:val="bullet"/>
      <w:lvlText w:val=""/>
      <w:lvlJc w:val="left"/>
      <w:pPr>
        <w:ind w:left="504" w:hanging="420"/>
      </w:pPr>
      <w:rPr>
        <w:rFonts w:hint="default" w:ascii="Wingdings" w:hAnsi="Wingdings"/>
      </w:rPr>
    </w:lvl>
    <w:lvl w:ilvl="1" w:tentative="0">
      <w:start w:val="1"/>
      <w:numFmt w:val="bullet"/>
      <w:lvlText w:val=""/>
      <w:lvlJc w:val="left"/>
      <w:pPr>
        <w:ind w:left="924" w:hanging="420"/>
      </w:pPr>
      <w:rPr>
        <w:rFonts w:hint="default" w:ascii="Wingdings" w:hAnsi="Wingdings"/>
      </w:rPr>
    </w:lvl>
    <w:lvl w:ilvl="2" w:tentative="0">
      <w:start w:val="1"/>
      <w:numFmt w:val="bullet"/>
      <w:lvlText w:val=""/>
      <w:lvlJc w:val="left"/>
      <w:pPr>
        <w:ind w:left="1344" w:hanging="420"/>
      </w:pPr>
      <w:rPr>
        <w:rFonts w:hint="default" w:ascii="Wingdings" w:hAnsi="Wingdings"/>
      </w:rPr>
    </w:lvl>
    <w:lvl w:ilvl="3" w:tentative="0">
      <w:start w:val="1"/>
      <w:numFmt w:val="bullet"/>
      <w:lvlText w:val=""/>
      <w:lvlJc w:val="left"/>
      <w:pPr>
        <w:ind w:left="1764" w:hanging="420"/>
      </w:pPr>
      <w:rPr>
        <w:rFonts w:hint="default" w:ascii="Wingdings" w:hAnsi="Wingdings"/>
      </w:rPr>
    </w:lvl>
    <w:lvl w:ilvl="4" w:tentative="0">
      <w:start w:val="1"/>
      <w:numFmt w:val="bullet"/>
      <w:lvlText w:val=""/>
      <w:lvlJc w:val="left"/>
      <w:pPr>
        <w:ind w:left="2184" w:hanging="420"/>
      </w:pPr>
      <w:rPr>
        <w:rFonts w:hint="default" w:ascii="Wingdings" w:hAnsi="Wingdings"/>
      </w:rPr>
    </w:lvl>
    <w:lvl w:ilvl="5" w:tentative="0">
      <w:start w:val="1"/>
      <w:numFmt w:val="bullet"/>
      <w:lvlText w:val=""/>
      <w:lvlJc w:val="left"/>
      <w:pPr>
        <w:ind w:left="2604" w:hanging="420"/>
      </w:pPr>
      <w:rPr>
        <w:rFonts w:hint="default" w:ascii="Wingdings" w:hAnsi="Wingdings"/>
      </w:rPr>
    </w:lvl>
    <w:lvl w:ilvl="6" w:tentative="0">
      <w:start w:val="1"/>
      <w:numFmt w:val="bullet"/>
      <w:lvlText w:val=""/>
      <w:lvlJc w:val="left"/>
      <w:pPr>
        <w:ind w:left="3024" w:hanging="420"/>
      </w:pPr>
      <w:rPr>
        <w:rFonts w:hint="default" w:ascii="Wingdings" w:hAnsi="Wingdings"/>
      </w:rPr>
    </w:lvl>
    <w:lvl w:ilvl="7" w:tentative="0">
      <w:start w:val="1"/>
      <w:numFmt w:val="bullet"/>
      <w:lvlText w:val=""/>
      <w:lvlJc w:val="left"/>
      <w:pPr>
        <w:ind w:left="3444" w:hanging="420"/>
      </w:pPr>
      <w:rPr>
        <w:rFonts w:hint="default" w:ascii="Wingdings" w:hAnsi="Wingdings"/>
      </w:rPr>
    </w:lvl>
    <w:lvl w:ilvl="8" w:tentative="0">
      <w:start w:val="1"/>
      <w:numFmt w:val="bullet"/>
      <w:lvlText w:val=""/>
      <w:lvlJc w:val="left"/>
      <w:pPr>
        <w:ind w:left="3864" w:hanging="420"/>
      </w:pPr>
      <w:rPr>
        <w:rFonts w:hint="default" w:ascii="Wingdings" w:hAnsi="Wingdings"/>
      </w:rPr>
    </w:lvl>
  </w:abstractNum>
  <w:abstractNum w:abstractNumId="1">
    <w:nsid w:val="392321BC"/>
    <w:multiLevelType w:val="multilevel"/>
    <w:tmpl w:val="392321BC"/>
    <w:lvl w:ilvl="0" w:tentative="0">
      <w:start w:val="2"/>
      <w:numFmt w:val="japaneseCounting"/>
      <w:lvlText w:val="%1、"/>
      <w:lvlJc w:val="left"/>
      <w:pPr>
        <w:ind w:left="480" w:hanging="480"/>
      </w:pPr>
      <w:rPr>
        <w:rFonts w:hint="default"/>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6407D5"/>
    <w:multiLevelType w:val="singleLevel"/>
    <w:tmpl w:val="3A6407D5"/>
    <w:lvl w:ilvl="0" w:tentative="0">
      <w:start w:val="1"/>
      <w:numFmt w:val="decimal"/>
      <w:suff w:val="nothing"/>
      <w:lvlText w:val="%1、"/>
      <w:lvlJc w:val="left"/>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21"/>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63784670"/>
    <w:multiLevelType w:val="multilevel"/>
    <w:tmpl w:val="6378467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ZhNGJhODUwMTg5MWFiZmM5NGYyNjU3NjEwNDU3OWUifQ=="/>
  </w:docVars>
  <w:rsids>
    <w:rsidRoot w:val="0014382F"/>
    <w:rsid w:val="0000349C"/>
    <w:rsid w:val="000222F4"/>
    <w:rsid w:val="0002444C"/>
    <w:rsid w:val="000418E7"/>
    <w:rsid w:val="00043B54"/>
    <w:rsid w:val="0004678C"/>
    <w:rsid w:val="00062715"/>
    <w:rsid w:val="00065093"/>
    <w:rsid w:val="00066438"/>
    <w:rsid w:val="000840AD"/>
    <w:rsid w:val="000A0E03"/>
    <w:rsid w:val="000C4F1D"/>
    <w:rsid w:val="000C5A6E"/>
    <w:rsid w:val="00112A0E"/>
    <w:rsid w:val="00115027"/>
    <w:rsid w:val="001164B6"/>
    <w:rsid w:val="0014382F"/>
    <w:rsid w:val="001633FA"/>
    <w:rsid w:val="001975C3"/>
    <w:rsid w:val="001B0AF8"/>
    <w:rsid w:val="001C6041"/>
    <w:rsid w:val="001D701A"/>
    <w:rsid w:val="0026480F"/>
    <w:rsid w:val="00287172"/>
    <w:rsid w:val="00294A17"/>
    <w:rsid w:val="002C6E9A"/>
    <w:rsid w:val="002D198F"/>
    <w:rsid w:val="002F1122"/>
    <w:rsid w:val="002F332D"/>
    <w:rsid w:val="00317CCA"/>
    <w:rsid w:val="003201A5"/>
    <w:rsid w:val="00322F97"/>
    <w:rsid w:val="00342C44"/>
    <w:rsid w:val="003520E9"/>
    <w:rsid w:val="00370FCD"/>
    <w:rsid w:val="003744FC"/>
    <w:rsid w:val="00377D24"/>
    <w:rsid w:val="00387322"/>
    <w:rsid w:val="00387403"/>
    <w:rsid w:val="004736C3"/>
    <w:rsid w:val="0048728D"/>
    <w:rsid w:val="004E2731"/>
    <w:rsid w:val="004F7980"/>
    <w:rsid w:val="0056726C"/>
    <w:rsid w:val="005725ED"/>
    <w:rsid w:val="005A1726"/>
    <w:rsid w:val="005B35DE"/>
    <w:rsid w:val="005E66B5"/>
    <w:rsid w:val="006068C5"/>
    <w:rsid w:val="00614E57"/>
    <w:rsid w:val="00617190"/>
    <w:rsid w:val="0065068D"/>
    <w:rsid w:val="006660FB"/>
    <w:rsid w:val="0067517C"/>
    <w:rsid w:val="006753B0"/>
    <w:rsid w:val="00683915"/>
    <w:rsid w:val="00687D2A"/>
    <w:rsid w:val="006A4F4C"/>
    <w:rsid w:val="006B2FE5"/>
    <w:rsid w:val="006B393B"/>
    <w:rsid w:val="006D1857"/>
    <w:rsid w:val="006D398E"/>
    <w:rsid w:val="006F2A90"/>
    <w:rsid w:val="006F3EF9"/>
    <w:rsid w:val="00701671"/>
    <w:rsid w:val="007122A5"/>
    <w:rsid w:val="00721979"/>
    <w:rsid w:val="00735DDF"/>
    <w:rsid w:val="007448A4"/>
    <w:rsid w:val="007457D3"/>
    <w:rsid w:val="00757695"/>
    <w:rsid w:val="00764AB3"/>
    <w:rsid w:val="007722B7"/>
    <w:rsid w:val="00774B08"/>
    <w:rsid w:val="00787444"/>
    <w:rsid w:val="00790E30"/>
    <w:rsid w:val="007949FE"/>
    <w:rsid w:val="007C2936"/>
    <w:rsid w:val="007C7B75"/>
    <w:rsid w:val="007F1EB5"/>
    <w:rsid w:val="008008DF"/>
    <w:rsid w:val="00823C69"/>
    <w:rsid w:val="00837128"/>
    <w:rsid w:val="008420A9"/>
    <w:rsid w:val="00844878"/>
    <w:rsid w:val="0084561C"/>
    <w:rsid w:val="00853B9B"/>
    <w:rsid w:val="00892B9F"/>
    <w:rsid w:val="008A1930"/>
    <w:rsid w:val="008A23EE"/>
    <w:rsid w:val="008A38E2"/>
    <w:rsid w:val="008C2BC1"/>
    <w:rsid w:val="00903C94"/>
    <w:rsid w:val="00920641"/>
    <w:rsid w:val="00924622"/>
    <w:rsid w:val="00927089"/>
    <w:rsid w:val="00940396"/>
    <w:rsid w:val="00963D03"/>
    <w:rsid w:val="009B333C"/>
    <w:rsid w:val="009E3A36"/>
    <w:rsid w:val="00A23597"/>
    <w:rsid w:val="00A25ADB"/>
    <w:rsid w:val="00A304CB"/>
    <w:rsid w:val="00A52376"/>
    <w:rsid w:val="00A57827"/>
    <w:rsid w:val="00A76A4B"/>
    <w:rsid w:val="00A826B6"/>
    <w:rsid w:val="00A942A5"/>
    <w:rsid w:val="00A967B8"/>
    <w:rsid w:val="00AA4601"/>
    <w:rsid w:val="00AA54E4"/>
    <w:rsid w:val="00AF1C86"/>
    <w:rsid w:val="00B00CA7"/>
    <w:rsid w:val="00B23F21"/>
    <w:rsid w:val="00B60B61"/>
    <w:rsid w:val="00B97C41"/>
    <w:rsid w:val="00BE0526"/>
    <w:rsid w:val="00BF3328"/>
    <w:rsid w:val="00C36EF7"/>
    <w:rsid w:val="00C97717"/>
    <w:rsid w:val="00CC3095"/>
    <w:rsid w:val="00D22F24"/>
    <w:rsid w:val="00D4721B"/>
    <w:rsid w:val="00D74046"/>
    <w:rsid w:val="00D77C20"/>
    <w:rsid w:val="00D84569"/>
    <w:rsid w:val="00D91AC0"/>
    <w:rsid w:val="00D97E54"/>
    <w:rsid w:val="00DC6D09"/>
    <w:rsid w:val="00DE5EB4"/>
    <w:rsid w:val="00E13DEA"/>
    <w:rsid w:val="00E143B8"/>
    <w:rsid w:val="00E417F1"/>
    <w:rsid w:val="00E42BFD"/>
    <w:rsid w:val="00E71403"/>
    <w:rsid w:val="00E8567C"/>
    <w:rsid w:val="00E97D15"/>
    <w:rsid w:val="00EA0598"/>
    <w:rsid w:val="00EB7BDE"/>
    <w:rsid w:val="00ED7395"/>
    <w:rsid w:val="00EE6ABC"/>
    <w:rsid w:val="00EF75B7"/>
    <w:rsid w:val="00F208CA"/>
    <w:rsid w:val="00F45D33"/>
    <w:rsid w:val="00F50BC0"/>
    <w:rsid w:val="00F6459F"/>
    <w:rsid w:val="00F92DC9"/>
    <w:rsid w:val="00F93E9E"/>
    <w:rsid w:val="00FB065A"/>
    <w:rsid w:val="00FC58F0"/>
    <w:rsid w:val="00FF40F4"/>
    <w:rsid w:val="129E2F84"/>
    <w:rsid w:val="2EA36D78"/>
    <w:rsid w:val="72B2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pBdr>
        <w:bottom w:val="single" w:color="auto" w:sz="6" w:space="1"/>
      </w:pBdr>
      <w:outlineLvl w:val="0"/>
    </w:pPr>
    <w:rPr>
      <w:rFonts w:ascii="Arial" w:hAnsi="Arial"/>
      <w:sz w:val="30"/>
      <w:szCs w:val="20"/>
    </w:rPr>
  </w:style>
  <w:style w:type="paragraph" w:styleId="3">
    <w:name w:val="heading 2"/>
    <w:basedOn w:val="1"/>
    <w:next w:val="1"/>
    <w:link w:val="2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8"/>
    <w:basedOn w:val="1"/>
    <w:next w:val="1"/>
    <w:link w:val="23"/>
    <w:semiHidden/>
    <w:unhideWhenUsed/>
    <w:qFormat/>
    <w:uiPriority w:val="9"/>
    <w:pPr>
      <w:keepNext/>
      <w:keepLines/>
      <w:spacing w:before="240" w:after="64" w:line="320" w:lineRule="auto"/>
      <w:outlineLvl w:val="7"/>
    </w:pPr>
    <w:rPr>
      <w:rFonts w:asciiTheme="majorHAnsi" w:hAnsiTheme="majorHAnsi" w:eastAsiaTheme="majorEastAsia" w:cstheme="majorBidi"/>
      <w:sz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17"/>
    <w:qFormat/>
    <w:uiPriority w:val="0"/>
    <w:pPr>
      <w:spacing w:after="120"/>
    </w:pPr>
  </w:style>
  <w:style w:type="paragraph" w:styleId="6">
    <w:name w:val="Body Text Indent"/>
    <w:basedOn w:val="1"/>
    <w:link w:val="24"/>
    <w:semiHidden/>
    <w:unhideWhenUsed/>
    <w:uiPriority w:val="99"/>
    <w:pPr>
      <w:spacing w:after="120"/>
      <w:ind w:left="420" w:leftChars="200"/>
    </w:pPr>
  </w:style>
  <w:style w:type="paragraph" w:styleId="7">
    <w:name w:val="Plain Text"/>
    <w:basedOn w:val="1"/>
    <w:link w:val="20"/>
    <w:semiHidden/>
    <w:unhideWhenUsed/>
    <w:uiPriority w:val="99"/>
    <w:rPr>
      <w:rFonts w:ascii="宋体" w:hAnsi="Courier New" w:cs="Courier New"/>
      <w:szCs w:val="21"/>
    </w:rPr>
  </w:style>
  <w:style w:type="paragraph" w:styleId="8">
    <w:name w:val="footer"/>
    <w:basedOn w:val="1"/>
    <w:link w:val="15"/>
    <w:unhideWhenUsed/>
    <w:qFormat/>
    <w:uiPriority w:val="0"/>
    <w:pPr>
      <w:tabs>
        <w:tab w:val="center" w:pos="4153"/>
        <w:tab w:val="right" w:pos="8306"/>
      </w:tabs>
      <w:snapToGrid w:val="0"/>
      <w:jc w:val="left"/>
    </w:pPr>
    <w:rPr>
      <w:sz w:val="18"/>
      <w:szCs w:val="18"/>
    </w:rPr>
  </w:style>
  <w:style w:type="paragraph" w:styleId="9">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6"/>
    <w:link w:val="25"/>
    <w:semiHidden/>
    <w:unhideWhenUsed/>
    <w:uiPriority w:val="99"/>
    <w:pPr>
      <w:ind w:firstLine="420" w:firstLineChars="200"/>
    </w:pPr>
  </w:style>
  <w:style w:type="character" w:styleId="13">
    <w:name w:val="page number"/>
    <w:qFormat/>
    <w:uiPriority w:val="0"/>
  </w:style>
  <w:style w:type="character" w:customStyle="1" w:styleId="14">
    <w:name w:val="页眉 Char"/>
    <w:basedOn w:val="12"/>
    <w:link w:val="9"/>
    <w:semiHidden/>
    <w:uiPriority w:val="99"/>
    <w:rPr>
      <w:sz w:val="18"/>
      <w:szCs w:val="18"/>
    </w:rPr>
  </w:style>
  <w:style w:type="character" w:customStyle="1" w:styleId="15">
    <w:name w:val="页脚 Char"/>
    <w:basedOn w:val="12"/>
    <w:link w:val="8"/>
    <w:semiHidden/>
    <w:uiPriority w:val="99"/>
    <w:rPr>
      <w:sz w:val="18"/>
      <w:szCs w:val="18"/>
    </w:rPr>
  </w:style>
  <w:style w:type="character" w:customStyle="1" w:styleId="16">
    <w:name w:val="标题 1 Char"/>
    <w:basedOn w:val="12"/>
    <w:link w:val="2"/>
    <w:qFormat/>
    <w:uiPriority w:val="0"/>
    <w:rPr>
      <w:rFonts w:ascii="Arial" w:hAnsi="Arial" w:eastAsia="宋体" w:cs="Times New Roman"/>
      <w:sz w:val="30"/>
      <w:szCs w:val="20"/>
    </w:rPr>
  </w:style>
  <w:style w:type="character" w:customStyle="1" w:styleId="17">
    <w:name w:val="正文文本 Char"/>
    <w:basedOn w:val="12"/>
    <w:link w:val="5"/>
    <w:uiPriority w:val="0"/>
    <w:rPr>
      <w:rFonts w:ascii="Times New Roman" w:hAnsi="Times New Roman" w:eastAsia="宋体" w:cs="Times New Roman"/>
      <w:szCs w:val="24"/>
    </w:rPr>
  </w:style>
  <w:style w:type="paragraph" w:styleId="18">
    <w:name w:val="List Paragraph"/>
    <w:basedOn w:val="1"/>
    <w:qFormat/>
    <w:uiPriority w:val="99"/>
    <w:pPr>
      <w:ind w:firstLine="420" w:firstLineChars="200"/>
    </w:pPr>
  </w:style>
  <w:style w:type="paragraph" w:customStyle="1" w:styleId="19">
    <w:name w:val="1"/>
    <w:basedOn w:val="1"/>
    <w:next w:val="7"/>
    <w:qFormat/>
    <w:uiPriority w:val="0"/>
    <w:rPr>
      <w:rFonts w:ascii="宋体" w:hAnsi="Courier New"/>
      <w:szCs w:val="20"/>
    </w:rPr>
  </w:style>
  <w:style w:type="character" w:customStyle="1" w:styleId="20">
    <w:name w:val="纯文本 Char"/>
    <w:basedOn w:val="12"/>
    <w:link w:val="7"/>
    <w:semiHidden/>
    <w:uiPriority w:val="99"/>
    <w:rPr>
      <w:rFonts w:ascii="宋体" w:hAnsi="Courier New" w:eastAsia="宋体" w:cs="Courier New"/>
      <w:szCs w:val="21"/>
    </w:rPr>
  </w:style>
  <w:style w:type="paragraph" w:customStyle="1" w:styleId="21">
    <w:name w:val="标题 5（有编号）（绿盟科技）"/>
    <w:basedOn w:val="1"/>
    <w:next w:val="1"/>
    <w:qFormat/>
    <w:uiPriority w:val="0"/>
    <w:pPr>
      <w:keepNext/>
      <w:keepLines/>
      <w:numPr>
        <w:ilvl w:val="4"/>
        <w:numId w:val="1"/>
      </w:numPr>
      <w:spacing w:before="280" w:after="156" w:line="377" w:lineRule="auto"/>
      <w:outlineLvl w:val="4"/>
    </w:pPr>
    <w:rPr>
      <w:rFonts w:ascii="Arial" w:hAnsi="Arial" w:eastAsia="黑体"/>
      <w:b/>
      <w:sz w:val="24"/>
      <w:szCs w:val="28"/>
    </w:rPr>
  </w:style>
  <w:style w:type="character" w:customStyle="1" w:styleId="22">
    <w:name w:val="标题 2 Char"/>
    <w:basedOn w:val="12"/>
    <w:link w:val="3"/>
    <w:semiHidden/>
    <w:uiPriority w:val="9"/>
    <w:rPr>
      <w:rFonts w:asciiTheme="majorHAnsi" w:hAnsiTheme="majorHAnsi" w:eastAsiaTheme="majorEastAsia" w:cstheme="majorBidi"/>
      <w:b/>
      <w:bCs/>
      <w:sz w:val="32"/>
      <w:szCs w:val="32"/>
    </w:rPr>
  </w:style>
  <w:style w:type="character" w:customStyle="1" w:styleId="23">
    <w:name w:val="标题 8 Char"/>
    <w:basedOn w:val="12"/>
    <w:link w:val="4"/>
    <w:uiPriority w:val="0"/>
    <w:rPr>
      <w:rFonts w:asciiTheme="majorHAnsi" w:hAnsiTheme="majorHAnsi" w:eastAsiaTheme="majorEastAsia" w:cstheme="majorBidi"/>
      <w:sz w:val="24"/>
      <w:szCs w:val="24"/>
    </w:rPr>
  </w:style>
  <w:style w:type="character" w:customStyle="1" w:styleId="24">
    <w:name w:val="正文文本缩进 Char"/>
    <w:basedOn w:val="12"/>
    <w:link w:val="6"/>
    <w:semiHidden/>
    <w:uiPriority w:val="99"/>
    <w:rPr>
      <w:rFonts w:ascii="Times New Roman" w:hAnsi="Times New Roman" w:eastAsia="宋体" w:cs="Times New Roman"/>
      <w:szCs w:val="24"/>
    </w:rPr>
  </w:style>
  <w:style w:type="character" w:customStyle="1" w:styleId="25">
    <w:name w:val="正文首行缩进 2 Char"/>
    <w:basedOn w:val="24"/>
    <w:link w:val="10"/>
    <w:semiHidden/>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15126D-A60D-492D-88D7-2AD7FE5F18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18</Pages>
  <Words>7886</Words>
  <Characters>8112</Characters>
  <Lines>63</Lines>
  <Paragraphs>17</Paragraphs>
  <TotalTime>0</TotalTime>
  <ScaleCrop>false</ScaleCrop>
  <LinksUpToDate>false</LinksUpToDate>
  <CharactersWithSpaces>8418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2024-03-06T09:00:00Z</dcterms:created>
  <dc:creator>Microsoft</dc:creator>
  <cp:lastModifiedBy>微信用户</cp:lastModifiedBy>
  <dcterms:modified xsi:type="dcterms:W3CDTF">2024-06-20T00:50:55Z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73D472DADFE249D4B41B9615CBC2375A_12</vt:lpwstr>
  </property>
</Properties>
</file>