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widowControl w:val="0"/>
        <w:kinsoku/>
        <w:wordWrap/>
        <w:overflowPunct/>
        <w:topLinePunct w:val="0"/>
        <w:bidi w:val="0"/>
        <w:spacing w:line="360" w:lineRule="auto"/>
        <w:ind w:left="0" w:leftChars="0"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color w:val="auto"/>
          <w:sz w:val="24"/>
          <w:highlight w:val="none"/>
          <w:lang w:val="en-US" w:eastAsia="zh-CN"/>
        </w:rPr>
        <w:t>一</w:t>
      </w:r>
      <w:r>
        <w:rPr>
          <w:rFonts w:hint="eastAsia" w:ascii="宋体" w:hAnsi="宋体" w:cs="宋体"/>
          <w:b/>
          <w:bCs/>
          <w:color w:val="auto"/>
          <w:sz w:val="24"/>
          <w:highlight w:val="none"/>
          <w:lang w:val="en-US" w:eastAsia="zh-CN"/>
        </w:rPr>
        <w:t>、</w:t>
      </w:r>
      <w:r>
        <w:rPr>
          <w:rFonts w:hint="eastAsia" w:ascii="宋体" w:hAnsi="宋体" w:eastAsia="宋体" w:cs="宋体"/>
          <w:b/>
          <w:bCs/>
          <w:sz w:val="24"/>
          <w:szCs w:val="24"/>
        </w:rPr>
        <w:t>总体需求</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sz w:val="24"/>
          <w:szCs w:val="24"/>
          <w:lang w:val="en-US" w:eastAsia="zh-CN"/>
        </w:rPr>
        <w:t>1.</w:t>
      </w:r>
      <w:r>
        <w:rPr>
          <w:rFonts w:hint="eastAsia" w:ascii="宋体" w:hAnsi="宋体" w:eastAsia="宋体" w:cs="宋体"/>
          <w:sz w:val="24"/>
          <w:szCs w:val="24"/>
        </w:rPr>
        <w:t>要求</w:t>
      </w:r>
      <w:r>
        <w:rPr>
          <w:rFonts w:hint="eastAsia" w:ascii="宋体" w:hAnsi="宋体" w:eastAsia="宋体" w:cs="宋体"/>
          <w:color w:val="auto"/>
          <w:sz w:val="24"/>
          <w:szCs w:val="24"/>
          <w:highlight w:val="none"/>
        </w:rPr>
        <w:t>24小时驻场服务,保证在岗人员不少于1人。按照《电梯日常维护保养规则》进行半月、月、季度、半年、年保养项目。服务人员年龄不得超过60周岁，并需持证上岗电梯电气安装</w:t>
      </w:r>
      <w:bookmarkStart w:id="0" w:name="_GoBack"/>
      <w:bookmarkEnd w:id="0"/>
      <w:r>
        <w:rPr>
          <w:rFonts w:hint="eastAsia" w:ascii="宋体" w:hAnsi="宋体" w:eastAsia="宋体" w:cs="宋体"/>
          <w:color w:val="auto"/>
          <w:sz w:val="24"/>
          <w:szCs w:val="24"/>
          <w:highlight w:val="none"/>
        </w:rPr>
        <w:t>维修T</w:t>
      </w:r>
      <w:r>
        <w:rPr>
          <w:rFonts w:hint="eastAsia" w:ascii="宋体" w:hAnsi="宋体" w:cs="宋体"/>
          <w:color w:val="auto"/>
          <w:sz w:val="24"/>
          <w:szCs w:val="24"/>
          <w:highlight w:val="none"/>
          <w:lang w:eastAsia="zh-CN"/>
        </w:rPr>
        <w:t>证</w:t>
      </w:r>
      <w:r>
        <w:rPr>
          <w:rFonts w:hint="eastAsia" w:ascii="宋体" w:hAnsi="宋体" w:eastAsia="宋体" w:cs="宋体"/>
          <w:color w:val="auto"/>
          <w:sz w:val="24"/>
          <w:szCs w:val="24"/>
          <w:highlight w:val="none"/>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2.服务内容：电梯日常维护保养服务：含人工费，电梯年检费（一年一次）、限速器检验以及制动试验费用，24小时驻场服务费</w:t>
      </w:r>
      <w:r>
        <w:rPr>
          <w:rFonts w:hint="eastAsia" w:ascii="宋体" w:hAnsi="宋体" w:cs="宋体"/>
          <w:color w:val="auto"/>
          <w:sz w:val="24"/>
          <w:szCs w:val="24"/>
          <w:highlight w:val="none"/>
          <w:lang w:val="en-US" w:eastAsia="zh-CN"/>
        </w:rPr>
        <w:t>，电梯需要的所有油类费用。</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3.电梯维护保养服务人员需要按照《电梯日常维护保养规则》进行工作。</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4.电梯更换零部件单件500元以内（含500元）的，由供应商免费提供配件及安装更换，超出500元配件额外收费，供应商负责免费安装更换,不再收取人工费等其它费用</w:t>
      </w:r>
      <w:r>
        <w:rPr>
          <w:rFonts w:hint="eastAsia" w:ascii="宋体" w:hAnsi="宋体" w:cs="宋体"/>
          <w:color w:val="auto"/>
          <w:sz w:val="24"/>
          <w:szCs w:val="24"/>
          <w:highlight w:val="none"/>
          <w:lang w:val="en-US" w:eastAsia="zh-CN"/>
        </w:rPr>
        <w:t>。请提供500元以上配件清单及价格，未列在清单内的，除特殊情况外默认为500元以内配件。</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二</w:t>
      </w:r>
      <w:r>
        <w:rPr>
          <w:rFonts w:hint="eastAsia" w:ascii="宋体" w:hAnsi="宋体" w:cs="宋体"/>
          <w:b/>
          <w:bCs/>
          <w:color w:val="auto"/>
          <w:sz w:val="24"/>
          <w:szCs w:val="24"/>
          <w:highlight w:val="none"/>
          <w:lang w:val="en-US" w:eastAsia="zh-CN"/>
        </w:rPr>
        <w:t>、</w:t>
      </w:r>
      <w:r>
        <w:rPr>
          <w:rFonts w:hint="eastAsia" w:ascii="宋体" w:hAnsi="宋体" w:eastAsia="宋体" w:cs="宋体"/>
          <w:b/>
          <w:bCs/>
          <w:color w:val="auto"/>
          <w:sz w:val="24"/>
          <w:szCs w:val="24"/>
          <w:highlight w:val="none"/>
          <w:lang w:val="en-US" w:eastAsia="zh-CN"/>
        </w:rPr>
        <w:t>服务要求</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（一）维保服务依据</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参照标准为《电梯日常维护保养规则》（DB11/418）执行。</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（二）总体要求</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1.维保时应严格按《电梯日常维护保养规则》做好例行维修、保养工作。</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2.在特种设备检验部门对设备年检前，供应商将对设备进行一次全面的检查，以使设备顺利通过年检。</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3.维保期内配合特种设备检测</w:t>
      </w:r>
      <w:r>
        <w:rPr>
          <w:rFonts w:hint="eastAsia" w:ascii="宋体" w:hAnsi="宋体" w:cs="宋体"/>
          <w:color w:val="auto"/>
          <w:sz w:val="24"/>
          <w:szCs w:val="24"/>
          <w:highlight w:val="none"/>
          <w:lang w:val="en-US" w:eastAsia="zh-CN"/>
        </w:rPr>
        <w:t>单位</w:t>
      </w:r>
      <w:r>
        <w:rPr>
          <w:rFonts w:hint="eastAsia" w:ascii="宋体" w:hAnsi="宋体" w:eastAsia="宋体" w:cs="宋体"/>
          <w:color w:val="auto"/>
          <w:sz w:val="24"/>
          <w:szCs w:val="24"/>
          <w:highlight w:val="none"/>
          <w:lang w:val="en-US" w:eastAsia="zh-CN"/>
        </w:rPr>
        <w:t>对电梯设备以及附属设备的检验，负责检验中发生的属电梯维修保养合同范围内的整改工作。每年电梯设备及附属设备的年检发生的年检费及相关费用应由供应商承担。</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4.由于供应商失职造成设备的损坏，由供应商承担费用，负责修复或更换。</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5.供应商维保工作和抢修工作完毕后须通知采购人，并在《电梯日常维护保养规则、急修单》上进行签字确认。</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6.在维保时应在现场设置警告标语及防护栏，防止其他无关人员进入维保或抢修现场。</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7.每15日内对电梯设备进行一次日常维护保养，如电梯故障2小时内未能解决，供应商需安排技术人员支援。</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8.在电梯正常使用中发生故障时，供应商接到通知后，必须在</w:t>
      </w:r>
      <w:r>
        <w:rPr>
          <w:rFonts w:hint="eastAsia" w:ascii="宋体" w:hAnsi="宋体" w:cs="宋体"/>
          <w:color w:val="auto"/>
          <w:sz w:val="24"/>
          <w:szCs w:val="24"/>
          <w:highlight w:val="none"/>
          <w:lang w:val="en-US" w:eastAsia="zh-CN"/>
        </w:rPr>
        <w:t>10</w:t>
      </w:r>
      <w:r>
        <w:rPr>
          <w:rFonts w:hint="eastAsia" w:ascii="宋体" w:hAnsi="宋体" w:eastAsia="宋体" w:cs="宋体"/>
          <w:color w:val="auto"/>
          <w:sz w:val="24"/>
          <w:szCs w:val="24"/>
          <w:highlight w:val="none"/>
          <w:lang w:val="en-US" w:eastAsia="zh-CN"/>
        </w:rPr>
        <w:t>分钟内到现场处理故障。</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9.重大事故供应商应派技术团队在30分钟内到现场协助抢修工作。当电梯发生关人时，采购人立即通知供应商，供应商必须在</w:t>
      </w:r>
      <w:r>
        <w:rPr>
          <w:rFonts w:hint="eastAsia" w:ascii="宋体" w:hAnsi="宋体" w:cs="宋体"/>
          <w:color w:val="auto"/>
          <w:sz w:val="24"/>
          <w:szCs w:val="24"/>
          <w:highlight w:val="none"/>
          <w:lang w:val="en-US" w:eastAsia="zh-CN"/>
        </w:rPr>
        <w:t>30</w:t>
      </w:r>
      <w:r>
        <w:rPr>
          <w:rFonts w:hint="eastAsia" w:ascii="宋体" w:hAnsi="宋体" w:eastAsia="宋体" w:cs="宋体"/>
          <w:color w:val="auto"/>
          <w:sz w:val="24"/>
          <w:szCs w:val="24"/>
          <w:highlight w:val="none"/>
          <w:lang w:val="en-US" w:eastAsia="zh-CN"/>
        </w:rPr>
        <w:t>分钟内解救被困人员，并检查处理故障并提交事故报告。</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10.供应商停梯保养应</w:t>
      </w:r>
      <w:r>
        <w:rPr>
          <w:rFonts w:hint="eastAsia" w:ascii="宋体" w:hAnsi="宋体" w:cs="宋体"/>
          <w:color w:val="auto"/>
          <w:sz w:val="24"/>
          <w:szCs w:val="24"/>
          <w:highlight w:val="none"/>
          <w:lang w:val="en-US" w:eastAsia="zh-CN"/>
        </w:rPr>
        <w:t>提前制定停梯计划，并经采购人同意</w:t>
      </w:r>
      <w:r>
        <w:rPr>
          <w:rFonts w:hint="eastAsia" w:ascii="宋体" w:hAnsi="宋体" w:eastAsia="宋体" w:cs="宋体"/>
          <w:color w:val="auto"/>
          <w:sz w:val="24"/>
          <w:szCs w:val="24"/>
          <w:highlight w:val="none"/>
          <w:lang w:val="en-US" w:eastAsia="zh-CN"/>
        </w:rPr>
        <w:t>，</w:t>
      </w:r>
      <w:r>
        <w:rPr>
          <w:rFonts w:hint="eastAsia" w:ascii="宋体" w:hAnsi="宋体" w:cs="宋体"/>
          <w:color w:val="auto"/>
          <w:sz w:val="24"/>
          <w:szCs w:val="24"/>
          <w:highlight w:val="none"/>
          <w:lang w:val="en-US" w:eastAsia="zh-CN"/>
        </w:rPr>
        <w:t>停梯维保应按采购人同意后的计划</w:t>
      </w:r>
      <w:r>
        <w:rPr>
          <w:rFonts w:hint="eastAsia" w:ascii="宋体" w:hAnsi="宋体" w:eastAsia="宋体" w:cs="宋体"/>
          <w:color w:val="auto"/>
          <w:sz w:val="24"/>
          <w:szCs w:val="24"/>
          <w:highlight w:val="none"/>
          <w:lang w:val="en-US" w:eastAsia="zh-CN"/>
        </w:rPr>
        <w:t>逐台停梯。不能影响采购人正常使用，特殊情况必须获得采购人同意方可进行日常维保及抢修工作。在对疑难故障及停梯超过4小时以上应于一个工作日内向采购人做出书面说明。</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11.供应商提供备件必须是原厂生产，如采购人原因更换的备件，供应商需予以优惠（供应商提供价格单）</w:t>
      </w:r>
      <w:r>
        <w:rPr>
          <w:rFonts w:hint="eastAsia" w:ascii="宋体" w:hAnsi="宋体" w:cs="宋体"/>
          <w:color w:val="auto"/>
          <w:sz w:val="24"/>
          <w:szCs w:val="24"/>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12.在合同期内，电梯（停梯关人）故障，供应商承担全部责任及相关费用。</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13.供应商每</w:t>
      </w:r>
      <w:r>
        <w:rPr>
          <w:rFonts w:hint="eastAsia" w:ascii="宋体" w:hAnsi="宋体" w:cs="宋体"/>
          <w:color w:val="auto"/>
          <w:sz w:val="24"/>
          <w:szCs w:val="24"/>
          <w:highlight w:val="none"/>
          <w:lang w:val="en-US" w:eastAsia="zh-CN"/>
        </w:rPr>
        <w:t>半</w:t>
      </w:r>
      <w:r>
        <w:rPr>
          <w:rFonts w:hint="eastAsia" w:ascii="宋体" w:hAnsi="宋体" w:eastAsia="宋体" w:cs="宋体"/>
          <w:color w:val="auto"/>
          <w:sz w:val="24"/>
          <w:szCs w:val="24"/>
          <w:highlight w:val="none"/>
          <w:lang w:val="en-US" w:eastAsia="zh-CN"/>
        </w:rPr>
        <w:t>年至少</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次免费为采购人的人员培训电梯应急知识以及相关安全知识。</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14.供应商每年应安排维保人员和相关技术人员配合采购人进行针对各种突发事件的应急演练工作，并在演练结束后提供演练记录以及照片。</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15.电梯维保服务,供应商必须保证在岗人员持有电梯安装维修资格证书的维保人员进驻现场（驻场人员工资以及保险等任何产生的费用由供应商自行承担），提供24小时紧急维修服务，接到采购人维修电话通知后，应在 10分钟内到达现场进行处理。</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16.供应商负责每日</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次对电梯进行巡视检查</w:t>
      </w:r>
      <w:r>
        <w:rPr>
          <w:rFonts w:hint="eastAsia" w:ascii="宋体" w:hAnsi="宋体" w:cs="宋体"/>
          <w:color w:val="auto"/>
          <w:sz w:val="24"/>
          <w:szCs w:val="24"/>
          <w:highlight w:val="none"/>
          <w:lang w:val="en-US" w:eastAsia="zh-CN"/>
        </w:rPr>
        <w:t>，并做好相关巡检记录</w:t>
      </w:r>
      <w:r>
        <w:rPr>
          <w:rFonts w:hint="eastAsia" w:ascii="宋体" w:hAnsi="宋体" w:eastAsia="宋体" w:cs="宋体"/>
          <w:color w:val="auto"/>
          <w:sz w:val="24"/>
          <w:szCs w:val="24"/>
          <w:highlight w:val="none"/>
          <w:lang w:val="en-US" w:eastAsia="zh-CN"/>
        </w:rPr>
        <w:t>，巡视检查中发现问题应及时解决，无法解决需及时上报给采购人。</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（三） 维保服务设备情况</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1.院区共计：</w:t>
      </w:r>
      <w:r>
        <w:rPr>
          <w:rFonts w:hint="eastAsia" w:ascii="宋体" w:hAnsi="宋体" w:cs="宋体"/>
          <w:color w:val="auto"/>
          <w:sz w:val="24"/>
          <w:szCs w:val="24"/>
          <w:highlight w:val="none"/>
          <w:lang w:val="en-US" w:eastAsia="zh-CN"/>
        </w:rPr>
        <w:t>54</w:t>
      </w:r>
      <w:r>
        <w:rPr>
          <w:rFonts w:hint="eastAsia" w:ascii="宋体" w:hAnsi="宋体" w:eastAsia="宋体" w:cs="宋体"/>
          <w:color w:val="auto"/>
          <w:sz w:val="24"/>
          <w:szCs w:val="24"/>
          <w:highlight w:val="none"/>
          <w:lang w:val="en-US" w:eastAsia="zh-CN"/>
        </w:rPr>
        <w:t>台</w:t>
      </w:r>
      <w:r>
        <w:rPr>
          <w:rFonts w:hint="eastAsia" w:ascii="宋体" w:hAnsi="宋体" w:cs="宋体"/>
          <w:color w:val="auto"/>
          <w:sz w:val="24"/>
          <w:szCs w:val="24"/>
          <w:highlight w:val="none"/>
          <w:lang w:val="en-US" w:eastAsia="zh-CN"/>
        </w:rPr>
        <w:t>（44台直梯、10台扶梯）</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服务期限：1年</w:t>
      </w:r>
    </w:p>
    <w:p>
      <w:pPr>
        <w:spacing w:after="78" w:afterLines="25" w:line="300" w:lineRule="auto"/>
        <w:rPr>
          <w:rFonts w:hint="eastAsia"/>
          <w:b w:val="0"/>
          <w:bCs w:val="0"/>
          <w:color w:val="auto"/>
          <w:sz w:val="24"/>
          <w:szCs w:val="24"/>
          <w:highlight w:val="none"/>
        </w:rPr>
      </w:pPr>
      <w:r>
        <w:rPr>
          <w:rFonts w:hint="eastAsia"/>
          <w:b w:val="0"/>
          <w:bCs w:val="0"/>
          <w:color w:val="auto"/>
          <w:sz w:val="24"/>
          <w:szCs w:val="24"/>
          <w:highlight w:val="none"/>
        </w:rPr>
        <w:t>表一（</w:t>
      </w:r>
      <w:r>
        <w:rPr>
          <w:rFonts w:hint="eastAsia"/>
          <w:b w:val="0"/>
          <w:bCs w:val="0"/>
          <w:color w:val="auto"/>
          <w:sz w:val="24"/>
          <w:szCs w:val="24"/>
          <w:highlight w:val="none"/>
          <w:lang w:eastAsia="zh-CN"/>
        </w:rPr>
        <w:t>直</w:t>
      </w:r>
      <w:r>
        <w:rPr>
          <w:b w:val="0"/>
          <w:bCs w:val="0"/>
          <w:color w:val="auto"/>
          <w:sz w:val="24"/>
          <w:szCs w:val="24"/>
          <w:highlight w:val="none"/>
        </w:rPr>
        <w:t>梯）</w:t>
      </w:r>
      <w:r>
        <w:rPr>
          <w:rFonts w:hint="eastAsia"/>
          <w:b w:val="0"/>
          <w:bCs w:val="0"/>
          <w:color w:val="auto"/>
          <w:sz w:val="24"/>
          <w:szCs w:val="24"/>
          <w:highlight w:val="none"/>
        </w:rPr>
        <w:t>：</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8"/>
        <w:gridCol w:w="1542"/>
        <w:gridCol w:w="1063"/>
        <w:gridCol w:w="1183"/>
        <w:gridCol w:w="1178"/>
        <w:gridCol w:w="1178"/>
        <w:gridCol w:w="12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8" w:type="dxa"/>
            <w:vAlign w:val="center"/>
          </w:tcPr>
          <w:p>
            <w:pPr>
              <w:spacing w:line="296" w:lineRule="exact"/>
              <w:jc w:val="center"/>
              <w:rPr>
                <w:rFonts w:hint="eastAsia" w:ascii="仿宋" w:hAnsi="仿宋" w:eastAsia="仿宋" w:cs="仿宋"/>
                <w:b w:val="0"/>
                <w:bCs w:val="0"/>
                <w:color w:val="auto"/>
                <w:kern w:val="2"/>
                <w:sz w:val="28"/>
                <w:szCs w:val="28"/>
                <w:highlight w:val="none"/>
                <w:lang w:val="en-US" w:eastAsia="zh-CN" w:bidi="ar-SA"/>
              </w:rPr>
            </w:pPr>
            <w:r>
              <w:rPr>
                <w:rFonts w:hint="eastAsia" w:ascii="仿宋" w:hAnsi="仿宋" w:eastAsia="仿宋" w:cs="仿宋"/>
                <w:b w:val="0"/>
                <w:bCs w:val="0"/>
                <w:color w:val="auto"/>
                <w:sz w:val="28"/>
                <w:szCs w:val="28"/>
                <w:highlight w:val="none"/>
              </w:rPr>
              <w:t>梯 号</w:t>
            </w:r>
          </w:p>
        </w:tc>
        <w:tc>
          <w:tcPr>
            <w:tcW w:w="1542" w:type="dxa"/>
            <w:vAlign w:val="center"/>
          </w:tcPr>
          <w:p>
            <w:pPr>
              <w:spacing w:line="296" w:lineRule="exact"/>
              <w:jc w:val="center"/>
              <w:rPr>
                <w:rFonts w:hint="eastAsia" w:ascii="仿宋" w:hAnsi="仿宋" w:eastAsia="仿宋" w:cs="仿宋"/>
                <w:b w:val="0"/>
                <w:bCs w:val="0"/>
                <w:color w:val="auto"/>
                <w:sz w:val="28"/>
                <w:szCs w:val="28"/>
                <w:highlight w:val="none"/>
                <w:lang w:eastAsia="zh-CN"/>
              </w:rPr>
            </w:pPr>
            <w:r>
              <w:rPr>
                <w:rFonts w:hint="eastAsia" w:ascii="仿宋" w:hAnsi="仿宋" w:eastAsia="仿宋" w:cs="仿宋"/>
                <w:b w:val="0"/>
                <w:bCs w:val="0"/>
                <w:color w:val="auto"/>
                <w:sz w:val="28"/>
                <w:szCs w:val="28"/>
                <w:highlight w:val="none"/>
                <w:lang w:eastAsia="zh-CN"/>
              </w:rPr>
              <w:t>品牌</w:t>
            </w:r>
          </w:p>
          <w:p>
            <w:pPr>
              <w:spacing w:line="296" w:lineRule="exact"/>
              <w:jc w:val="center"/>
              <w:rPr>
                <w:rFonts w:hint="eastAsia" w:ascii="仿宋" w:hAnsi="仿宋" w:eastAsia="仿宋" w:cs="仿宋"/>
                <w:b w:val="0"/>
                <w:bCs w:val="0"/>
                <w:color w:val="auto"/>
                <w:kern w:val="2"/>
                <w:sz w:val="28"/>
                <w:szCs w:val="28"/>
                <w:highlight w:val="none"/>
                <w:lang w:val="en-US" w:eastAsia="zh-CN" w:bidi="ar-SA"/>
              </w:rPr>
            </w:pPr>
            <w:r>
              <w:rPr>
                <w:rFonts w:hint="eastAsia" w:ascii="仿宋" w:hAnsi="仿宋" w:eastAsia="仿宋" w:cs="仿宋"/>
                <w:b w:val="0"/>
                <w:bCs w:val="0"/>
                <w:color w:val="auto"/>
                <w:sz w:val="28"/>
                <w:szCs w:val="28"/>
                <w:highlight w:val="none"/>
              </w:rPr>
              <w:t>型号</w:t>
            </w:r>
          </w:p>
        </w:tc>
        <w:tc>
          <w:tcPr>
            <w:tcW w:w="1063" w:type="dxa"/>
            <w:vAlign w:val="center"/>
          </w:tcPr>
          <w:p>
            <w:pPr>
              <w:spacing w:line="296" w:lineRule="exact"/>
              <w:jc w:val="center"/>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速度</w:t>
            </w:r>
          </w:p>
          <w:p>
            <w:pPr>
              <w:pStyle w:val="5"/>
              <w:pBdr>
                <w:bottom w:val="none" w:color="auto" w:sz="0" w:space="0"/>
              </w:pBdr>
              <w:tabs>
                <w:tab w:val="clear" w:pos="4153"/>
                <w:tab w:val="clear" w:pos="8306"/>
              </w:tabs>
              <w:snapToGrid/>
              <w:spacing w:line="296" w:lineRule="exact"/>
              <w:rPr>
                <w:rFonts w:hint="eastAsia" w:ascii="仿宋" w:hAnsi="仿宋" w:eastAsia="仿宋" w:cs="仿宋"/>
                <w:b w:val="0"/>
                <w:bCs w:val="0"/>
                <w:color w:val="auto"/>
                <w:kern w:val="2"/>
                <w:sz w:val="28"/>
                <w:szCs w:val="28"/>
                <w:highlight w:val="none"/>
                <w:lang w:val="en-US" w:eastAsia="zh-CN" w:bidi="ar-SA"/>
              </w:rPr>
            </w:pPr>
            <w:r>
              <w:rPr>
                <w:rFonts w:hint="eastAsia" w:ascii="仿宋" w:hAnsi="仿宋" w:eastAsia="仿宋" w:cs="仿宋"/>
                <w:b w:val="0"/>
                <w:bCs w:val="0"/>
                <w:color w:val="auto"/>
                <w:sz w:val="28"/>
                <w:szCs w:val="28"/>
                <w:highlight w:val="none"/>
              </w:rPr>
              <w:t>(m/s)</w:t>
            </w:r>
          </w:p>
        </w:tc>
        <w:tc>
          <w:tcPr>
            <w:tcW w:w="1183" w:type="dxa"/>
            <w:vAlign w:val="center"/>
          </w:tcPr>
          <w:p>
            <w:pPr>
              <w:spacing w:line="296" w:lineRule="exact"/>
              <w:jc w:val="center"/>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层站</w:t>
            </w:r>
          </w:p>
          <w:p>
            <w:pPr>
              <w:spacing w:line="296" w:lineRule="exact"/>
              <w:jc w:val="center"/>
              <w:rPr>
                <w:rFonts w:hint="eastAsia" w:ascii="仿宋" w:hAnsi="仿宋" w:eastAsia="仿宋" w:cs="仿宋"/>
                <w:b w:val="0"/>
                <w:bCs w:val="0"/>
                <w:color w:val="auto"/>
                <w:kern w:val="2"/>
                <w:sz w:val="28"/>
                <w:szCs w:val="28"/>
                <w:highlight w:val="none"/>
                <w:lang w:val="en-US" w:eastAsia="zh-CN" w:bidi="ar-SA"/>
              </w:rPr>
            </w:pPr>
            <w:r>
              <w:rPr>
                <w:rFonts w:hint="eastAsia" w:ascii="仿宋" w:hAnsi="仿宋" w:eastAsia="仿宋" w:cs="仿宋"/>
                <w:b w:val="0"/>
                <w:bCs w:val="0"/>
                <w:color w:val="auto"/>
                <w:sz w:val="28"/>
                <w:szCs w:val="28"/>
                <w:highlight w:val="none"/>
              </w:rPr>
              <w:t>(站/门)</w:t>
            </w:r>
          </w:p>
        </w:tc>
        <w:tc>
          <w:tcPr>
            <w:tcW w:w="1178" w:type="dxa"/>
            <w:vAlign w:val="center"/>
          </w:tcPr>
          <w:p>
            <w:pPr>
              <w:spacing w:line="296" w:lineRule="exact"/>
              <w:jc w:val="center"/>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数量</w:t>
            </w:r>
          </w:p>
          <w:p>
            <w:pPr>
              <w:spacing w:line="296" w:lineRule="exact"/>
              <w:jc w:val="center"/>
              <w:rPr>
                <w:rFonts w:hint="eastAsia" w:ascii="仿宋" w:hAnsi="仿宋" w:eastAsia="仿宋" w:cs="仿宋"/>
                <w:b w:val="0"/>
                <w:bCs w:val="0"/>
                <w:color w:val="auto"/>
                <w:kern w:val="2"/>
                <w:sz w:val="28"/>
                <w:szCs w:val="28"/>
                <w:highlight w:val="none"/>
                <w:lang w:val="en-US" w:eastAsia="zh-CN" w:bidi="ar-SA"/>
              </w:rPr>
            </w:pPr>
            <w:r>
              <w:rPr>
                <w:rFonts w:hint="eastAsia" w:ascii="仿宋" w:hAnsi="仿宋" w:eastAsia="仿宋" w:cs="仿宋"/>
                <w:b w:val="0"/>
                <w:bCs w:val="0"/>
                <w:color w:val="auto"/>
                <w:sz w:val="28"/>
                <w:szCs w:val="28"/>
                <w:highlight w:val="none"/>
              </w:rPr>
              <w:t>(台)</w:t>
            </w:r>
          </w:p>
        </w:tc>
        <w:tc>
          <w:tcPr>
            <w:tcW w:w="1178" w:type="dxa"/>
            <w:vAlign w:val="center"/>
          </w:tcPr>
          <w:p>
            <w:pPr>
              <w:spacing w:line="296" w:lineRule="exact"/>
              <w:jc w:val="center"/>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服务期</w:t>
            </w:r>
          </w:p>
          <w:p>
            <w:pPr>
              <w:spacing w:line="296" w:lineRule="exact"/>
              <w:jc w:val="center"/>
              <w:rPr>
                <w:rFonts w:hint="eastAsia" w:ascii="仿宋" w:hAnsi="仿宋" w:eastAsia="仿宋" w:cs="仿宋"/>
                <w:b w:val="0"/>
                <w:bCs w:val="0"/>
                <w:color w:val="auto"/>
                <w:kern w:val="2"/>
                <w:sz w:val="28"/>
                <w:szCs w:val="28"/>
                <w:highlight w:val="none"/>
                <w:lang w:val="en-US" w:eastAsia="zh-CN" w:bidi="ar-SA"/>
              </w:rPr>
            </w:pPr>
            <w:r>
              <w:rPr>
                <w:rFonts w:hint="eastAsia" w:ascii="仿宋" w:hAnsi="仿宋" w:eastAsia="仿宋" w:cs="仿宋"/>
                <w:b w:val="0"/>
                <w:bCs w:val="0"/>
                <w:color w:val="auto"/>
                <w:sz w:val="28"/>
                <w:szCs w:val="28"/>
                <w:highlight w:val="none"/>
              </w:rPr>
              <w:t>(月)</w:t>
            </w:r>
          </w:p>
        </w:tc>
        <w:tc>
          <w:tcPr>
            <w:tcW w:w="1200" w:type="dxa"/>
            <w:vAlign w:val="center"/>
          </w:tcPr>
          <w:p>
            <w:pPr>
              <w:spacing w:line="296" w:lineRule="exact"/>
              <w:jc w:val="center"/>
              <w:rPr>
                <w:rFonts w:hint="eastAsia" w:ascii="仿宋" w:hAnsi="仿宋" w:eastAsia="仿宋" w:cs="仿宋"/>
                <w:b w:val="0"/>
                <w:bCs w:val="0"/>
                <w:color w:val="auto"/>
                <w:sz w:val="28"/>
                <w:szCs w:val="28"/>
                <w:highlight w:val="none"/>
                <w:lang w:eastAsia="zh-CN"/>
              </w:rPr>
            </w:pPr>
            <w:r>
              <w:rPr>
                <w:rFonts w:hint="eastAsia" w:ascii="仿宋" w:hAnsi="仿宋" w:eastAsia="仿宋" w:cs="仿宋"/>
                <w:b w:val="0"/>
                <w:bCs w:val="0"/>
                <w:color w:val="auto"/>
                <w:sz w:val="28"/>
                <w:szCs w:val="28"/>
                <w:highlight w:val="none"/>
                <w:lang w:eastAsia="zh-CN"/>
              </w:rPr>
              <w:t>载重</w:t>
            </w:r>
          </w:p>
          <w:p>
            <w:pPr>
              <w:spacing w:line="296" w:lineRule="exact"/>
              <w:jc w:val="center"/>
              <w:rPr>
                <w:rFonts w:hint="eastAsia" w:ascii="仿宋" w:hAnsi="仿宋" w:eastAsia="仿宋" w:cs="仿宋"/>
                <w:b w:val="0"/>
                <w:bCs w:val="0"/>
                <w:color w:val="auto"/>
                <w:sz w:val="28"/>
                <w:szCs w:val="28"/>
                <w:highlight w:val="none"/>
                <w:vertAlign w:val="baseline"/>
                <w:lang w:eastAsia="zh-CN"/>
              </w:rPr>
            </w:pPr>
            <w:r>
              <w:rPr>
                <w:rFonts w:hint="eastAsia" w:ascii="仿宋" w:hAnsi="仿宋" w:eastAsia="仿宋" w:cs="仿宋"/>
                <w:b w:val="0"/>
                <w:bCs w:val="0"/>
                <w:color w:val="auto"/>
                <w:sz w:val="28"/>
                <w:szCs w:val="28"/>
                <w:highlight w:val="none"/>
                <w:lang w:eastAsia="zh-CN"/>
              </w:rPr>
              <w:t>（</w:t>
            </w:r>
            <w:r>
              <w:rPr>
                <w:rFonts w:hint="eastAsia" w:ascii="仿宋" w:hAnsi="仿宋" w:eastAsia="仿宋" w:cs="仿宋"/>
                <w:b w:val="0"/>
                <w:bCs w:val="0"/>
                <w:color w:val="auto"/>
                <w:sz w:val="28"/>
                <w:szCs w:val="28"/>
                <w:highlight w:val="none"/>
                <w:lang w:val="en-US" w:eastAsia="zh-CN"/>
              </w:rPr>
              <w:t>KG</w:t>
            </w:r>
            <w:r>
              <w:rPr>
                <w:rFonts w:hint="eastAsia" w:ascii="仿宋" w:hAnsi="仿宋" w:eastAsia="仿宋" w:cs="仿宋"/>
                <w:b w:val="0"/>
                <w:bCs w:val="0"/>
                <w:color w:val="auto"/>
                <w:sz w:val="28"/>
                <w:szCs w:val="28"/>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w:t>
            </w:r>
          </w:p>
        </w:tc>
        <w:tc>
          <w:tcPr>
            <w:tcW w:w="1542" w:type="dxa"/>
            <w:vAlign w:val="top"/>
          </w:tcPr>
          <w:p>
            <w:pPr>
              <w:spacing w:line="360" w:lineRule="auto"/>
              <w:jc w:val="center"/>
              <w:rPr>
                <w:rFonts w:hint="eastAsia" w:eastAsia="宋体"/>
                <w:b w:val="0"/>
                <w:bCs w:val="0"/>
                <w:color w:val="auto"/>
                <w:sz w:val="20"/>
                <w:szCs w:val="20"/>
                <w:highlight w:val="none"/>
                <w:lang w:eastAsia="zh-CN"/>
              </w:rPr>
            </w:pPr>
            <w:r>
              <w:rPr>
                <w:rFonts w:hint="eastAsia"/>
                <w:b w:val="0"/>
                <w:bCs w:val="0"/>
                <w:color w:val="auto"/>
                <w:sz w:val="20"/>
                <w:szCs w:val="20"/>
                <w:highlight w:val="none"/>
                <w:lang w:eastAsia="zh-CN"/>
              </w:rPr>
              <w:t>上海三菱电梯</w:t>
            </w:r>
          </w:p>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LEHY-IIIB</w:t>
            </w:r>
          </w:p>
        </w:tc>
        <w:tc>
          <w:tcPr>
            <w:tcW w:w="1063"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1.75</w:t>
            </w:r>
          </w:p>
        </w:tc>
        <w:tc>
          <w:tcPr>
            <w:tcW w:w="1183"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14/14</w:t>
            </w:r>
          </w:p>
        </w:tc>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w:t>
            </w:r>
          </w:p>
        </w:tc>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12</w:t>
            </w:r>
          </w:p>
        </w:tc>
        <w:tc>
          <w:tcPr>
            <w:tcW w:w="1200" w:type="dxa"/>
          </w:tcPr>
          <w:p>
            <w:pPr>
              <w:spacing w:after="78" w:afterLines="25" w:line="300" w:lineRule="auto"/>
              <w:jc w:val="center"/>
              <w:rPr>
                <w:rFonts w:hint="default" w:eastAsia="宋体"/>
                <w:b w:val="0"/>
                <w:bCs w:val="0"/>
                <w:color w:val="auto"/>
                <w:sz w:val="20"/>
                <w:szCs w:val="20"/>
                <w:highlight w:val="none"/>
                <w:vertAlign w:val="baseline"/>
                <w:lang w:val="en-US" w:eastAsia="zh-CN"/>
              </w:rPr>
            </w:pPr>
            <w:r>
              <w:rPr>
                <w:rFonts w:hint="eastAsia"/>
                <w:b w:val="0"/>
                <w:bCs w:val="0"/>
                <w:color w:val="auto"/>
                <w:sz w:val="20"/>
                <w:szCs w:val="20"/>
                <w:highlight w:val="none"/>
                <w:vertAlign w:val="baseline"/>
                <w:lang w:val="en-US" w:eastAsia="zh-CN"/>
              </w:rPr>
              <w:t>1600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2</w:t>
            </w:r>
          </w:p>
        </w:tc>
        <w:tc>
          <w:tcPr>
            <w:tcW w:w="1542" w:type="dxa"/>
            <w:vAlign w:val="top"/>
          </w:tcPr>
          <w:p>
            <w:pPr>
              <w:spacing w:line="360" w:lineRule="auto"/>
              <w:jc w:val="center"/>
              <w:rPr>
                <w:rFonts w:hint="eastAsia" w:eastAsia="宋体"/>
                <w:b w:val="0"/>
                <w:bCs w:val="0"/>
                <w:color w:val="auto"/>
                <w:sz w:val="20"/>
                <w:szCs w:val="20"/>
                <w:highlight w:val="none"/>
                <w:lang w:eastAsia="zh-CN"/>
              </w:rPr>
            </w:pPr>
            <w:r>
              <w:rPr>
                <w:rFonts w:hint="eastAsia"/>
                <w:b w:val="0"/>
                <w:bCs w:val="0"/>
                <w:color w:val="auto"/>
                <w:sz w:val="20"/>
                <w:szCs w:val="20"/>
                <w:highlight w:val="none"/>
                <w:lang w:eastAsia="zh-CN"/>
              </w:rPr>
              <w:t>上海三菱电梯</w:t>
            </w:r>
          </w:p>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LEHY-III-S</w:t>
            </w:r>
          </w:p>
        </w:tc>
        <w:tc>
          <w:tcPr>
            <w:tcW w:w="1063"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1.75</w:t>
            </w:r>
          </w:p>
        </w:tc>
        <w:tc>
          <w:tcPr>
            <w:tcW w:w="1183"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14/14</w:t>
            </w:r>
          </w:p>
        </w:tc>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w:t>
            </w:r>
          </w:p>
        </w:tc>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12</w:t>
            </w:r>
          </w:p>
        </w:tc>
        <w:tc>
          <w:tcPr>
            <w:tcW w:w="1200" w:type="dxa"/>
          </w:tcPr>
          <w:p>
            <w:pPr>
              <w:spacing w:after="78" w:afterLines="25" w:line="300" w:lineRule="auto"/>
              <w:jc w:val="center"/>
              <w:rPr>
                <w:rFonts w:hint="default" w:eastAsia="宋体"/>
                <w:b w:val="0"/>
                <w:bCs w:val="0"/>
                <w:color w:val="auto"/>
                <w:sz w:val="20"/>
                <w:szCs w:val="20"/>
                <w:highlight w:val="none"/>
                <w:vertAlign w:val="baseline"/>
                <w:lang w:val="en-US" w:eastAsia="zh-CN"/>
              </w:rPr>
            </w:pPr>
            <w:r>
              <w:rPr>
                <w:rFonts w:hint="eastAsia"/>
                <w:b w:val="0"/>
                <w:bCs w:val="0"/>
                <w:color w:val="auto"/>
                <w:sz w:val="20"/>
                <w:szCs w:val="20"/>
                <w:highlight w:val="none"/>
                <w:vertAlign w:val="baseline"/>
                <w:lang w:val="en-US" w:eastAsia="zh-CN"/>
              </w:rPr>
              <w:t>1050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3</w:t>
            </w:r>
          </w:p>
        </w:tc>
        <w:tc>
          <w:tcPr>
            <w:tcW w:w="1542" w:type="dxa"/>
            <w:vAlign w:val="top"/>
          </w:tcPr>
          <w:p>
            <w:pPr>
              <w:spacing w:line="360" w:lineRule="auto"/>
              <w:jc w:val="center"/>
              <w:rPr>
                <w:rFonts w:hint="eastAsia" w:eastAsia="宋体"/>
                <w:b w:val="0"/>
                <w:bCs w:val="0"/>
                <w:color w:val="auto"/>
                <w:sz w:val="20"/>
                <w:szCs w:val="20"/>
                <w:highlight w:val="none"/>
                <w:lang w:eastAsia="zh-CN"/>
              </w:rPr>
            </w:pPr>
            <w:r>
              <w:rPr>
                <w:rFonts w:hint="eastAsia"/>
                <w:b w:val="0"/>
                <w:bCs w:val="0"/>
                <w:color w:val="auto"/>
                <w:sz w:val="20"/>
                <w:szCs w:val="20"/>
                <w:highlight w:val="none"/>
                <w:lang w:eastAsia="zh-CN"/>
              </w:rPr>
              <w:t>上海三菱电梯</w:t>
            </w:r>
          </w:p>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LEHY-IIIB</w:t>
            </w:r>
          </w:p>
        </w:tc>
        <w:tc>
          <w:tcPr>
            <w:tcW w:w="1063"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1.75</w:t>
            </w:r>
          </w:p>
        </w:tc>
        <w:tc>
          <w:tcPr>
            <w:tcW w:w="1183"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14/14</w:t>
            </w:r>
          </w:p>
        </w:tc>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w:t>
            </w:r>
          </w:p>
        </w:tc>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12</w:t>
            </w:r>
          </w:p>
        </w:tc>
        <w:tc>
          <w:tcPr>
            <w:tcW w:w="1200" w:type="dxa"/>
          </w:tcPr>
          <w:p>
            <w:pPr>
              <w:spacing w:after="78" w:afterLines="25" w:line="300" w:lineRule="auto"/>
              <w:jc w:val="center"/>
              <w:rPr>
                <w:rFonts w:hint="default" w:eastAsia="宋体"/>
                <w:b w:val="0"/>
                <w:bCs w:val="0"/>
                <w:color w:val="auto"/>
                <w:sz w:val="20"/>
                <w:szCs w:val="20"/>
                <w:highlight w:val="none"/>
                <w:vertAlign w:val="baseline"/>
                <w:lang w:val="en-US" w:eastAsia="zh-CN"/>
              </w:rPr>
            </w:pPr>
            <w:r>
              <w:rPr>
                <w:rFonts w:hint="eastAsia"/>
                <w:b w:val="0"/>
                <w:bCs w:val="0"/>
                <w:color w:val="auto"/>
                <w:sz w:val="20"/>
                <w:szCs w:val="20"/>
                <w:highlight w:val="none"/>
                <w:vertAlign w:val="baseline"/>
                <w:lang w:val="en-US" w:eastAsia="zh-CN"/>
              </w:rPr>
              <w:t>1600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4</w:t>
            </w:r>
          </w:p>
        </w:tc>
        <w:tc>
          <w:tcPr>
            <w:tcW w:w="1542" w:type="dxa"/>
            <w:vAlign w:val="top"/>
          </w:tcPr>
          <w:p>
            <w:pPr>
              <w:spacing w:line="360" w:lineRule="auto"/>
              <w:jc w:val="center"/>
              <w:rPr>
                <w:rFonts w:hint="eastAsia" w:eastAsia="宋体"/>
                <w:b w:val="0"/>
                <w:bCs w:val="0"/>
                <w:color w:val="auto"/>
                <w:sz w:val="20"/>
                <w:szCs w:val="20"/>
                <w:highlight w:val="none"/>
                <w:lang w:eastAsia="zh-CN"/>
              </w:rPr>
            </w:pPr>
            <w:r>
              <w:rPr>
                <w:rFonts w:hint="eastAsia"/>
                <w:b w:val="0"/>
                <w:bCs w:val="0"/>
                <w:color w:val="auto"/>
                <w:sz w:val="20"/>
                <w:szCs w:val="20"/>
                <w:highlight w:val="none"/>
                <w:lang w:eastAsia="zh-CN"/>
              </w:rPr>
              <w:t>上海三菱电梯</w:t>
            </w:r>
          </w:p>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LEHY-IIIB</w:t>
            </w:r>
          </w:p>
        </w:tc>
        <w:tc>
          <w:tcPr>
            <w:tcW w:w="1063"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1.6</w:t>
            </w:r>
          </w:p>
        </w:tc>
        <w:tc>
          <w:tcPr>
            <w:tcW w:w="1183"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14/14</w:t>
            </w:r>
          </w:p>
        </w:tc>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w:t>
            </w:r>
          </w:p>
        </w:tc>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12</w:t>
            </w:r>
          </w:p>
        </w:tc>
        <w:tc>
          <w:tcPr>
            <w:tcW w:w="1200" w:type="dxa"/>
          </w:tcPr>
          <w:p>
            <w:pPr>
              <w:spacing w:after="78" w:afterLines="25" w:line="300" w:lineRule="auto"/>
              <w:jc w:val="center"/>
              <w:rPr>
                <w:rFonts w:hint="default" w:eastAsia="宋体"/>
                <w:b w:val="0"/>
                <w:bCs w:val="0"/>
                <w:color w:val="auto"/>
                <w:sz w:val="20"/>
                <w:szCs w:val="20"/>
                <w:highlight w:val="none"/>
                <w:vertAlign w:val="baseline"/>
                <w:lang w:val="en-US" w:eastAsia="zh-CN"/>
              </w:rPr>
            </w:pPr>
            <w:r>
              <w:rPr>
                <w:rFonts w:hint="eastAsia"/>
                <w:b w:val="0"/>
                <w:bCs w:val="0"/>
                <w:color w:val="auto"/>
                <w:sz w:val="20"/>
                <w:szCs w:val="20"/>
                <w:highlight w:val="none"/>
                <w:vertAlign w:val="baseline"/>
                <w:lang w:val="en-US" w:eastAsia="zh-CN"/>
              </w:rPr>
              <w:t>1600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5</w:t>
            </w:r>
          </w:p>
        </w:tc>
        <w:tc>
          <w:tcPr>
            <w:tcW w:w="1542" w:type="dxa"/>
            <w:vAlign w:val="top"/>
          </w:tcPr>
          <w:p>
            <w:pPr>
              <w:spacing w:line="360" w:lineRule="auto"/>
              <w:jc w:val="center"/>
              <w:rPr>
                <w:rFonts w:hint="eastAsia" w:eastAsia="宋体"/>
                <w:b w:val="0"/>
                <w:bCs w:val="0"/>
                <w:color w:val="auto"/>
                <w:sz w:val="20"/>
                <w:szCs w:val="20"/>
                <w:highlight w:val="none"/>
                <w:lang w:eastAsia="zh-CN"/>
              </w:rPr>
            </w:pPr>
            <w:r>
              <w:rPr>
                <w:rFonts w:hint="eastAsia"/>
                <w:b w:val="0"/>
                <w:bCs w:val="0"/>
                <w:color w:val="auto"/>
                <w:sz w:val="20"/>
                <w:szCs w:val="20"/>
                <w:highlight w:val="none"/>
                <w:lang w:eastAsia="zh-CN"/>
              </w:rPr>
              <w:t>上海三菱电梯</w:t>
            </w:r>
          </w:p>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ELENESSA</w:t>
            </w:r>
          </w:p>
        </w:tc>
        <w:tc>
          <w:tcPr>
            <w:tcW w:w="1063"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1.75</w:t>
            </w:r>
          </w:p>
        </w:tc>
        <w:tc>
          <w:tcPr>
            <w:tcW w:w="1183"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15/15</w:t>
            </w:r>
          </w:p>
        </w:tc>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w:t>
            </w:r>
          </w:p>
        </w:tc>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12</w:t>
            </w:r>
          </w:p>
        </w:tc>
        <w:tc>
          <w:tcPr>
            <w:tcW w:w="1200" w:type="dxa"/>
          </w:tcPr>
          <w:p>
            <w:pPr>
              <w:spacing w:after="78" w:afterLines="25" w:line="300" w:lineRule="auto"/>
              <w:jc w:val="center"/>
              <w:rPr>
                <w:rFonts w:hint="default" w:eastAsia="宋体"/>
                <w:b w:val="0"/>
                <w:bCs w:val="0"/>
                <w:color w:val="auto"/>
                <w:sz w:val="20"/>
                <w:szCs w:val="20"/>
                <w:highlight w:val="none"/>
                <w:vertAlign w:val="baseline"/>
                <w:lang w:val="en-US" w:eastAsia="zh-CN"/>
              </w:rPr>
            </w:pPr>
            <w:r>
              <w:rPr>
                <w:rFonts w:hint="eastAsia"/>
                <w:b w:val="0"/>
                <w:bCs w:val="0"/>
                <w:color w:val="auto"/>
                <w:sz w:val="20"/>
                <w:szCs w:val="20"/>
                <w:highlight w:val="none"/>
                <w:vertAlign w:val="baseline"/>
                <w:lang w:val="en-US" w:eastAsia="zh-CN"/>
              </w:rPr>
              <w:t>1600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6、7、8</w:t>
            </w:r>
          </w:p>
        </w:tc>
        <w:tc>
          <w:tcPr>
            <w:tcW w:w="1542" w:type="dxa"/>
            <w:vAlign w:val="top"/>
          </w:tcPr>
          <w:p>
            <w:pPr>
              <w:spacing w:line="360" w:lineRule="auto"/>
              <w:jc w:val="center"/>
              <w:rPr>
                <w:rFonts w:hint="eastAsia" w:eastAsia="宋体"/>
                <w:b w:val="0"/>
                <w:bCs w:val="0"/>
                <w:color w:val="auto"/>
                <w:sz w:val="20"/>
                <w:szCs w:val="20"/>
                <w:highlight w:val="none"/>
                <w:lang w:eastAsia="zh-CN"/>
              </w:rPr>
            </w:pPr>
            <w:r>
              <w:rPr>
                <w:rFonts w:hint="eastAsia"/>
                <w:b w:val="0"/>
                <w:bCs w:val="0"/>
                <w:color w:val="auto"/>
                <w:sz w:val="20"/>
                <w:szCs w:val="20"/>
                <w:highlight w:val="none"/>
                <w:lang w:eastAsia="zh-CN"/>
              </w:rPr>
              <w:t>上海三菱电梯</w:t>
            </w:r>
          </w:p>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LEHY-III-S</w:t>
            </w:r>
          </w:p>
        </w:tc>
        <w:tc>
          <w:tcPr>
            <w:tcW w:w="1063"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1.75</w:t>
            </w:r>
          </w:p>
        </w:tc>
        <w:tc>
          <w:tcPr>
            <w:tcW w:w="1183"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14/14</w:t>
            </w:r>
          </w:p>
        </w:tc>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3</w:t>
            </w:r>
          </w:p>
        </w:tc>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12</w:t>
            </w:r>
          </w:p>
        </w:tc>
        <w:tc>
          <w:tcPr>
            <w:tcW w:w="1200" w:type="dxa"/>
          </w:tcPr>
          <w:p>
            <w:pPr>
              <w:spacing w:after="78" w:afterLines="25" w:line="300" w:lineRule="auto"/>
              <w:jc w:val="center"/>
              <w:rPr>
                <w:rFonts w:hint="default" w:eastAsia="宋体"/>
                <w:b w:val="0"/>
                <w:bCs w:val="0"/>
                <w:color w:val="auto"/>
                <w:sz w:val="20"/>
                <w:szCs w:val="20"/>
                <w:highlight w:val="none"/>
                <w:vertAlign w:val="baseline"/>
                <w:lang w:val="en-US" w:eastAsia="zh-CN"/>
              </w:rPr>
            </w:pPr>
            <w:r>
              <w:rPr>
                <w:rFonts w:hint="eastAsia"/>
                <w:b w:val="0"/>
                <w:bCs w:val="0"/>
                <w:color w:val="auto"/>
                <w:sz w:val="20"/>
                <w:szCs w:val="20"/>
                <w:highlight w:val="none"/>
                <w:vertAlign w:val="baseline"/>
                <w:lang w:val="en-US" w:eastAsia="zh-CN"/>
              </w:rPr>
              <w:t>1050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9、10、11</w:t>
            </w:r>
          </w:p>
        </w:tc>
        <w:tc>
          <w:tcPr>
            <w:tcW w:w="1542" w:type="dxa"/>
            <w:vAlign w:val="top"/>
          </w:tcPr>
          <w:p>
            <w:pPr>
              <w:spacing w:line="360" w:lineRule="auto"/>
              <w:jc w:val="center"/>
              <w:rPr>
                <w:rFonts w:hint="eastAsia" w:eastAsia="宋体"/>
                <w:b w:val="0"/>
                <w:bCs w:val="0"/>
                <w:color w:val="auto"/>
                <w:sz w:val="20"/>
                <w:szCs w:val="20"/>
                <w:highlight w:val="none"/>
                <w:lang w:eastAsia="zh-CN"/>
              </w:rPr>
            </w:pPr>
            <w:r>
              <w:rPr>
                <w:rFonts w:hint="eastAsia"/>
                <w:b w:val="0"/>
                <w:bCs w:val="0"/>
                <w:color w:val="auto"/>
                <w:sz w:val="20"/>
                <w:szCs w:val="20"/>
                <w:highlight w:val="none"/>
                <w:lang w:eastAsia="zh-CN"/>
              </w:rPr>
              <w:t>上海三菱电梯</w:t>
            </w:r>
          </w:p>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LEHY-III-S</w:t>
            </w:r>
          </w:p>
        </w:tc>
        <w:tc>
          <w:tcPr>
            <w:tcW w:w="1063"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1.75</w:t>
            </w:r>
          </w:p>
        </w:tc>
        <w:tc>
          <w:tcPr>
            <w:tcW w:w="1183"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10/10</w:t>
            </w:r>
          </w:p>
        </w:tc>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3</w:t>
            </w:r>
          </w:p>
        </w:tc>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12</w:t>
            </w:r>
          </w:p>
        </w:tc>
        <w:tc>
          <w:tcPr>
            <w:tcW w:w="1200" w:type="dxa"/>
          </w:tcPr>
          <w:p>
            <w:pPr>
              <w:spacing w:after="78" w:afterLines="25" w:line="300" w:lineRule="auto"/>
              <w:jc w:val="center"/>
              <w:rPr>
                <w:rFonts w:hint="default" w:eastAsia="宋体"/>
                <w:b w:val="0"/>
                <w:bCs w:val="0"/>
                <w:color w:val="auto"/>
                <w:sz w:val="20"/>
                <w:szCs w:val="20"/>
                <w:highlight w:val="none"/>
                <w:vertAlign w:val="baseline"/>
                <w:lang w:val="en-US" w:eastAsia="zh-CN"/>
              </w:rPr>
            </w:pPr>
            <w:r>
              <w:rPr>
                <w:rFonts w:hint="eastAsia"/>
                <w:b w:val="0"/>
                <w:bCs w:val="0"/>
                <w:color w:val="auto"/>
                <w:sz w:val="20"/>
                <w:szCs w:val="20"/>
                <w:highlight w:val="none"/>
                <w:vertAlign w:val="baseline"/>
                <w:lang w:val="en-US" w:eastAsia="zh-CN"/>
              </w:rPr>
              <w:t>1050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12</w:t>
            </w:r>
          </w:p>
        </w:tc>
        <w:tc>
          <w:tcPr>
            <w:tcW w:w="1542" w:type="dxa"/>
            <w:vAlign w:val="top"/>
          </w:tcPr>
          <w:p>
            <w:pPr>
              <w:spacing w:line="360" w:lineRule="auto"/>
              <w:jc w:val="center"/>
              <w:rPr>
                <w:rFonts w:hint="eastAsia" w:eastAsia="宋体"/>
                <w:b w:val="0"/>
                <w:bCs w:val="0"/>
                <w:color w:val="auto"/>
                <w:sz w:val="20"/>
                <w:szCs w:val="20"/>
                <w:highlight w:val="none"/>
                <w:lang w:eastAsia="zh-CN"/>
              </w:rPr>
            </w:pPr>
            <w:r>
              <w:rPr>
                <w:rFonts w:hint="eastAsia"/>
                <w:b w:val="0"/>
                <w:bCs w:val="0"/>
                <w:color w:val="auto"/>
                <w:sz w:val="20"/>
                <w:szCs w:val="20"/>
                <w:highlight w:val="none"/>
                <w:lang w:eastAsia="zh-CN"/>
              </w:rPr>
              <w:t>上海三菱电梯</w:t>
            </w:r>
          </w:p>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LEHY-IIIB</w:t>
            </w:r>
          </w:p>
        </w:tc>
        <w:tc>
          <w:tcPr>
            <w:tcW w:w="1063"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1.75</w:t>
            </w:r>
          </w:p>
        </w:tc>
        <w:tc>
          <w:tcPr>
            <w:tcW w:w="1183"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10/10</w:t>
            </w:r>
          </w:p>
        </w:tc>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w:t>
            </w:r>
          </w:p>
        </w:tc>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12</w:t>
            </w:r>
          </w:p>
        </w:tc>
        <w:tc>
          <w:tcPr>
            <w:tcW w:w="1200" w:type="dxa"/>
          </w:tcPr>
          <w:p>
            <w:pPr>
              <w:spacing w:after="78" w:afterLines="25" w:line="300" w:lineRule="auto"/>
              <w:jc w:val="center"/>
              <w:rPr>
                <w:rFonts w:hint="default" w:eastAsia="宋体"/>
                <w:b w:val="0"/>
                <w:bCs w:val="0"/>
                <w:color w:val="auto"/>
                <w:sz w:val="20"/>
                <w:szCs w:val="20"/>
                <w:highlight w:val="none"/>
                <w:vertAlign w:val="baseline"/>
                <w:lang w:val="en-US" w:eastAsia="zh-CN"/>
              </w:rPr>
            </w:pPr>
            <w:r>
              <w:rPr>
                <w:rFonts w:hint="eastAsia"/>
                <w:b w:val="0"/>
                <w:bCs w:val="0"/>
                <w:color w:val="auto"/>
                <w:sz w:val="20"/>
                <w:szCs w:val="20"/>
                <w:highlight w:val="none"/>
                <w:vertAlign w:val="baseline"/>
                <w:lang w:val="en-US" w:eastAsia="zh-CN"/>
              </w:rPr>
              <w:t>1600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13</w:t>
            </w:r>
          </w:p>
        </w:tc>
        <w:tc>
          <w:tcPr>
            <w:tcW w:w="1542" w:type="dxa"/>
            <w:vAlign w:val="top"/>
          </w:tcPr>
          <w:p>
            <w:pPr>
              <w:spacing w:line="360" w:lineRule="auto"/>
              <w:jc w:val="center"/>
              <w:rPr>
                <w:rFonts w:hint="eastAsia" w:eastAsia="宋体"/>
                <w:b w:val="0"/>
                <w:bCs w:val="0"/>
                <w:color w:val="auto"/>
                <w:sz w:val="20"/>
                <w:szCs w:val="20"/>
                <w:highlight w:val="none"/>
                <w:lang w:eastAsia="zh-CN"/>
              </w:rPr>
            </w:pPr>
            <w:r>
              <w:rPr>
                <w:rFonts w:hint="eastAsia"/>
                <w:b w:val="0"/>
                <w:bCs w:val="0"/>
                <w:color w:val="auto"/>
                <w:sz w:val="20"/>
                <w:szCs w:val="20"/>
                <w:highlight w:val="none"/>
                <w:lang w:eastAsia="zh-CN"/>
              </w:rPr>
              <w:t>上海三菱电梯</w:t>
            </w:r>
          </w:p>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LEHY-IIIB</w:t>
            </w:r>
          </w:p>
        </w:tc>
        <w:tc>
          <w:tcPr>
            <w:tcW w:w="1063"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1.75</w:t>
            </w:r>
          </w:p>
        </w:tc>
        <w:tc>
          <w:tcPr>
            <w:tcW w:w="1183"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10/10</w:t>
            </w:r>
          </w:p>
        </w:tc>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w:t>
            </w:r>
          </w:p>
        </w:tc>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12</w:t>
            </w:r>
          </w:p>
        </w:tc>
        <w:tc>
          <w:tcPr>
            <w:tcW w:w="1200" w:type="dxa"/>
          </w:tcPr>
          <w:p>
            <w:pPr>
              <w:spacing w:after="78" w:afterLines="25" w:line="300" w:lineRule="auto"/>
              <w:jc w:val="center"/>
              <w:rPr>
                <w:rFonts w:hint="default" w:eastAsia="宋体"/>
                <w:b w:val="0"/>
                <w:bCs w:val="0"/>
                <w:color w:val="auto"/>
                <w:sz w:val="20"/>
                <w:szCs w:val="20"/>
                <w:highlight w:val="none"/>
                <w:vertAlign w:val="baseline"/>
                <w:lang w:val="en-US" w:eastAsia="zh-CN"/>
              </w:rPr>
            </w:pPr>
            <w:r>
              <w:rPr>
                <w:rFonts w:hint="eastAsia"/>
                <w:b w:val="0"/>
                <w:bCs w:val="0"/>
                <w:color w:val="auto"/>
                <w:sz w:val="20"/>
                <w:szCs w:val="20"/>
                <w:highlight w:val="none"/>
                <w:vertAlign w:val="baseline"/>
                <w:lang w:val="en-US" w:eastAsia="zh-CN"/>
              </w:rPr>
              <w:t>1600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14</w:t>
            </w:r>
          </w:p>
        </w:tc>
        <w:tc>
          <w:tcPr>
            <w:tcW w:w="1542" w:type="dxa"/>
            <w:vAlign w:val="top"/>
          </w:tcPr>
          <w:p>
            <w:pPr>
              <w:spacing w:line="360" w:lineRule="auto"/>
              <w:jc w:val="center"/>
              <w:rPr>
                <w:rFonts w:hint="eastAsia" w:eastAsia="宋体"/>
                <w:b w:val="0"/>
                <w:bCs w:val="0"/>
                <w:color w:val="auto"/>
                <w:sz w:val="20"/>
                <w:szCs w:val="20"/>
                <w:highlight w:val="none"/>
                <w:lang w:eastAsia="zh-CN"/>
              </w:rPr>
            </w:pPr>
            <w:r>
              <w:rPr>
                <w:rFonts w:hint="eastAsia"/>
                <w:b w:val="0"/>
                <w:bCs w:val="0"/>
                <w:color w:val="auto"/>
                <w:sz w:val="20"/>
                <w:szCs w:val="20"/>
                <w:highlight w:val="none"/>
                <w:lang w:eastAsia="zh-CN"/>
              </w:rPr>
              <w:t>上海三菱电梯</w:t>
            </w:r>
          </w:p>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LEHY-IIIB</w:t>
            </w:r>
          </w:p>
        </w:tc>
        <w:tc>
          <w:tcPr>
            <w:tcW w:w="1063"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1.75</w:t>
            </w:r>
          </w:p>
        </w:tc>
        <w:tc>
          <w:tcPr>
            <w:tcW w:w="1183"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10/10</w:t>
            </w:r>
          </w:p>
        </w:tc>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lang w:val="en-US" w:eastAsia="zh-CN"/>
              </w:rPr>
              <w:t>1</w:t>
            </w:r>
          </w:p>
        </w:tc>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12</w:t>
            </w:r>
          </w:p>
        </w:tc>
        <w:tc>
          <w:tcPr>
            <w:tcW w:w="1200" w:type="dxa"/>
          </w:tcPr>
          <w:p>
            <w:pPr>
              <w:spacing w:after="78" w:afterLines="25" w:line="300" w:lineRule="auto"/>
              <w:jc w:val="center"/>
              <w:rPr>
                <w:rFonts w:hint="default" w:eastAsia="宋体"/>
                <w:b w:val="0"/>
                <w:bCs w:val="0"/>
                <w:color w:val="auto"/>
                <w:sz w:val="20"/>
                <w:szCs w:val="20"/>
                <w:highlight w:val="none"/>
                <w:vertAlign w:val="baseline"/>
                <w:lang w:val="en-US" w:eastAsia="zh-CN"/>
              </w:rPr>
            </w:pPr>
            <w:r>
              <w:rPr>
                <w:rFonts w:hint="eastAsia"/>
                <w:b w:val="0"/>
                <w:bCs w:val="0"/>
                <w:color w:val="auto"/>
                <w:sz w:val="20"/>
                <w:szCs w:val="20"/>
                <w:highlight w:val="none"/>
                <w:vertAlign w:val="baseline"/>
                <w:lang w:val="en-US" w:eastAsia="zh-CN"/>
              </w:rPr>
              <w:t>1600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15</w:t>
            </w:r>
          </w:p>
        </w:tc>
        <w:tc>
          <w:tcPr>
            <w:tcW w:w="1542" w:type="dxa"/>
            <w:vAlign w:val="top"/>
          </w:tcPr>
          <w:p>
            <w:pPr>
              <w:spacing w:line="360" w:lineRule="auto"/>
              <w:jc w:val="center"/>
              <w:rPr>
                <w:rFonts w:hint="eastAsia" w:eastAsia="宋体"/>
                <w:b w:val="0"/>
                <w:bCs w:val="0"/>
                <w:color w:val="auto"/>
                <w:sz w:val="20"/>
                <w:szCs w:val="20"/>
                <w:highlight w:val="none"/>
                <w:lang w:eastAsia="zh-CN"/>
              </w:rPr>
            </w:pPr>
            <w:r>
              <w:rPr>
                <w:rFonts w:hint="eastAsia"/>
                <w:b w:val="0"/>
                <w:bCs w:val="0"/>
                <w:color w:val="auto"/>
                <w:sz w:val="20"/>
                <w:szCs w:val="20"/>
                <w:highlight w:val="none"/>
                <w:lang w:eastAsia="zh-CN"/>
              </w:rPr>
              <w:t>上海三菱电梯</w:t>
            </w:r>
          </w:p>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LEHY-III-S</w:t>
            </w:r>
          </w:p>
        </w:tc>
        <w:tc>
          <w:tcPr>
            <w:tcW w:w="1063"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1.75</w:t>
            </w:r>
          </w:p>
        </w:tc>
        <w:tc>
          <w:tcPr>
            <w:tcW w:w="1183"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10/10</w:t>
            </w:r>
          </w:p>
        </w:tc>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w:t>
            </w:r>
          </w:p>
        </w:tc>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12</w:t>
            </w:r>
          </w:p>
        </w:tc>
        <w:tc>
          <w:tcPr>
            <w:tcW w:w="1200" w:type="dxa"/>
          </w:tcPr>
          <w:p>
            <w:pPr>
              <w:spacing w:after="78" w:afterLines="25" w:line="300" w:lineRule="auto"/>
              <w:jc w:val="center"/>
              <w:rPr>
                <w:rFonts w:hint="default" w:eastAsia="宋体"/>
                <w:b w:val="0"/>
                <w:bCs w:val="0"/>
                <w:color w:val="auto"/>
                <w:sz w:val="20"/>
                <w:szCs w:val="20"/>
                <w:highlight w:val="none"/>
                <w:vertAlign w:val="baseline"/>
                <w:lang w:val="en-US" w:eastAsia="zh-CN"/>
              </w:rPr>
            </w:pPr>
            <w:r>
              <w:rPr>
                <w:rFonts w:hint="eastAsia"/>
                <w:b w:val="0"/>
                <w:bCs w:val="0"/>
                <w:color w:val="auto"/>
                <w:sz w:val="20"/>
                <w:szCs w:val="20"/>
                <w:highlight w:val="none"/>
                <w:vertAlign w:val="baseline"/>
                <w:lang w:val="en-US" w:eastAsia="zh-CN"/>
              </w:rPr>
              <w:t>1050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8" w:type="dxa"/>
            <w:vAlign w:val="top"/>
          </w:tcPr>
          <w:p>
            <w:pPr>
              <w:spacing w:line="360" w:lineRule="auto"/>
              <w:jc w:val="center"/>
              <w:rPr>
                <w:rFonts w:hint="default" w:eastAsia="宋体"/>
                <w:b w:val="0"/>
                <w:bCs w:val="0"/>
                <w:color w:val="auto"/>
                <w:sz w:val="20"/>
                <w:szCs w:val="20"/>
                <w:highlight w:val="none"/>
                <w:lang w:val="en-US" w:eastAsia="zh-CN"/>
              </w:rPr>
            </w:pPr>
            <w:r>
              <w:rPr>
                <w:rFonts w:hint="eastAsia"/>
                <w:b w:val="0"/>
                <w:bCs w:val="0"/>
                <w:color w:val="auto"/>
                <w:sz w:val="20"/>
                <w:szCs w:val="20"/>
                <w:highlight w:val="none"/>
                <w:lang w:val="en-US" w:eastAsia="zh-CN"/>
              </w:rPr>
              <w:t>16</w:t>
            </w:r>
          </w:p>
        </w:tc>
        <w:tc>
          <w:tcPr>
            <w:tcW w:w="1542" w:type="dxa"/>
            <w:vAlign w:val="top"/>
          </w:tcPr>
          <w:p>
            <w:pPr>
              <w:spacing w:line="360" w:lineRule="auto"/>
              <w:jc w:val="center"/>
              <w:rPr>
                <w:rFonts w:hint="eastAsia" w:eastAsia="宋体"/>
                <w:b w:val="0"/>
                <w:bCs w:val="0"/>
                <w:color w:val="auto"/>
                <w:sz w:val="20"/>
                <w:szCs w:val="20"/>
                <w:highlight w:val="none"/>
                <w:lang w:eastAsia="zh-CN"/>
              </w:rPr>
            </w:pPr>
            <w:r>
              <w:rPr>
                <w:rFonts w:hint="eastAsia"/>
                <w:b w:val="0"/>
                <w:bCs w:val="0"/>
                <w:color w:val="auto"/>
                <w:sz w:val="20"/>
                <w:szCs w:val="20"/>
                <w:highlight w:val="none"/>
                <w:lang w:eastAsia="zh-CN"/>
              </w:rPr>
              <w:t>上海三菱电梯</w:t>
            </w:r>
          </w:p>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LEHY-IIIB</w:t>
            </w:r>
          </w:p>
        </w:tc>
        <w:tc>
          <w:tcPr>
            <w:tcW w:w="1063"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1.75</w:t>
            </w:r>
          </w:p>
        </w:tc>
        <w:tc>
          <w:tcPr>
            <w:tcW w:w="1183"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10/10</w:t>
            </w:r>
          </w:p>
        </w:tc>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lang w:val="en-US" w:eastAsia="zh-CN"/>
              </w:rPr>
              <w:t>1</w:t>
            </w:r>
          </w:p>
        </w:tc>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12</w:t>
            </w:r>
          </w:p>
        </w:tc>
        <w:tc>
          <w:tcPr>
            <w:tcW w:w="1200" w:type="dxa"/>
          </w:tcPr>
          <w:p>
            <w:pPr>
              <w:spacing w:after="78" w:afterLines="25" w:line="300" w:lineRule="auto"/>
              <w:jc w:val="center"/>
              <w:rPr>
                <w:rFonts w:hint="default" w:eastAsia="宋体"/>
                <w:b w:val="0"/>
                <w:bCs w:val="0"/>
                <w:color w:val="auto"/>
                <w:sz w:val="20"/>
                <w:szCs w:val="20"/>
                <w:highlight w:val="none"/>
                <w:vertAlign w:val="baseline"/>
                <w:lang w:val="en-US" w:eastAsia="zh-CN"/>
              </w:rPr>
            </w:pPr>
            <w:r>
              <w:rPr>
                <w:rFonts w:hint="eastAsia"/>
                <w:b w:val="0"/>
                <w:bCs w:val="0"/>
                <w:color w:val="auto"/>
                <w:sz w:val="20"/>
                <w:szCs w:val="20"/>
                <w:highlight w:val="none"/>
                <w:vertAlign w:val="baseline"/>
                <w:lang w:val="en-US" w:eastAsia="zh-CN"/>
              </w:rPr>
              <w:t>1600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17、18</w:t>
            </w:r>
          </w:p>
        </w:tc>
        <w:tc>
          <w:tcPr>
            <w:tcW w:w="1542" w:type="dxa"/>
            <w:vAlign w:val="top"/>
          </w:tcPr>
          <w:p>
            <w:pPr>
              <w:spacing w:line="360" w:lineRule="auto"/>
              <w:jc w:val="center"/>
              <w:rPr>
                <w:rFonts w:hint="eastAsia" w:eastAsia="宋体"/>
                <w:b w:val="0"/>
                <w:bCs w:val="0"/>
                <w:color w:val="auto"/>
                <w:sz w:val="20"/>
                <w:szCs w:val="20"/>
                <w:highlight w:val="none"/>
                <w:lang w:eastAsia="zh-CN"/>
              </w:rPr>
            </w:pPr>
            <w:r>
              <w:rPr>
                <w:rFonts w:hint="eastAsia"/>
                <w:b w:val="0"/>
                <w:bCs w:val="0"/>
                <w:color w:val="auto"/>
                <w:sz w:val="20"/>
                <w:szCs w:val="20"/>
                <w:highlight w:val="none"/>
                <w:lang w:eastAsia="zh-CN"/>
              </w:rPr>
              <w:t>上海三菱电梯</w:t>
            </w:r>
          </w:p>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ELENESSA</w:t>
            </w:r>
          </w:p>
        </w:tc>
        <w:tc>
          <w:tcPr>
            <w:tcW w:w="1063"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1.0</w:t>
            </w:r>
          </w:p>
        </w:tc>
        <w:tc>
          <w:tcPr>
            <w:tcW w:w="1183"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2/2</w:t>
            </w:r>
          </w:p>
        </w:tc>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2</w:t>
            </w:r>
          </w:p>
        </w:tc>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12</w:t>
            </w:r>
          </w:p>
        </w:tc>
        <w:tc>
          <w:tcPr>
            <w:tcW w:w="1200" w:type="dxa"/>
          </w:tcPr>
          <w:p>
            <w:pPr>
              <w:spacing w:after="78" w:afterLines="25" w:line="300" w:lineRule="auto"/>
              <w:jc w:val="center"/>
              <w:rPr>
                <w:rFonts w:hint="default" w:eastAsia="宋体"/>
                <w:b w:val="0"/>
                <w:bCs w:val="0"/>
                <w:color w:val="auto"/>
                <w:sz w:val="20"/>
                <w:szCs w:val="20"/>
                <w:highlight w:val="none"/>
                <w:vertAlign w:val="baseline"/>
                <w:lang w:val="en-US" w:eastAsia="zh-CN"/>
              </w:rPr>
            </w:pPr>
            <w:r>
              <w:rPr>
                <w:rFonts w:hint="eastAsia"/>
                <w:b w:val="0"/>
                <w:bCs w:val="0"/>
                <w:color w:val="auto"/>
                <w:sz w:val="20"/>
                <w:szCs w:val="20"/>
                <w:highlight w:val="none"/>
                <w:vertAlign w:val="baseline"/>
                <w:lang w:val="en-US" w:eastAsia="zh-CN"/>
              </w:rPr>
              <w:t>1600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19、20</w:t>
            </w:r>
          </w:p>
        </w:tc>
        <w:tc>
          <w:tcPr>
            <w:tcW w:w="1542" w:type="dxa"/>
            <w:vAlign w:val="top"/>
          </w:tcPr>
          <w:p>
            <w:pPr>
              <w:spacing w:line="360" w:lineRule="auto"/>
              <w:jc w:val="center"/>
              <w:rPr>
                <w:rFonts w:hint="eastAsia" w:eastAsia="宋体"/>
                <w:b w:val="0"/>
                <w:bCs w:val="0"/>
                <w:color w:val="auto"/>
                <w:sz w:val="20"/>
                <w:szCs w:val="20"/>
                <w:highlight w:val="none"/>
                <w:lang w:eastAsia="zh-CN"/>
              </w:rPr>
            </w:pPr>
            <w:r>
              <w:rPr>
                <w:rFonts w:hint="eastAsia"/>
                <w:b w:val="0"/>
                <w:bCs w:val="0"/>
                <w:color w:val="auto"/>
                <w:sz w:val="20"/>
                <w:szCs w:val="20"/>
                <w:highlight w:val="none"/>
                <w:lang w:eastAsia="zh-CN"/>
              </w:rPr>
              <w:t>上海三菱电梯</w:t>
            </w:r>
          </w:p>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ELENESSA</w:t>
            </w:r>
          </w:p>
        </w:tc>
        <w:tc>
          <w:tcPr>
            <w:tcW w:w="1063"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1.0</w:t>
            </w:r>
          </w:p>
        </w:tc>
        <w:tc>
          <w:tcPr>
            <w:tcW w:w="1183"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2/2</w:t>
            </w:r>
          </w:p>
        </w:tc>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2</w:t>
            </w:r>
          </w:p>
        </w:tc>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12</w:t>
            </w:r>
          </w:p>
        </w:tc>
        <w:tc>
          <w:tcPr>
            <w:tcW w:w="1200" w:type="dxa"/>
          </w:tcPr>
          <w:p>
            <w:pPr>
              <w:spacing w:after="78" w:afterLines="25" w:line="300" w:lineRule="auto"/>
              <w:jc w:val="center"/>
              <w:rPr>
                <w:rFonts w:hint="default" w:eastAsia="宋体"/>
                <w:b w:val="0"/>
                <w:bCs w:val="0"/>
                <w:color w:val="auto"/>
                <w:sz w:val="20"/>
                <w:szCs w:val="20"/>
                <w:highlight w:val="none"/>
                <w:vertAlign w:val="baseline"/>
                <w:lang w:val="en-US" w:eastAsia="zh-CN"/>
              </w:rPr>
            </w:pPr>
            <w:r>
              <w:rPr>
                <w:rFonts w:hint="eastAsia"/>
                <w:b w:val="0"/>
                <w:bCs w:val="0"/>
                <w:color w:val="auto"/>
                <w:sz w:val="20"/>
                <w:szCs w:val="20"/>
                <w:highlight w:val="none"/>
                <w:vertAlign w:val="baseline"/>
                <w:lang w:val="en-US" w:eastAsia="zh-CN"/>
              </w:rPr>
              <w:t>1050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21、22、23</w:t>
            </w:r>
          </w:p>
        </w:tc>
        <w:tc>
          <w:tcPr>
            <w:tcW w:w="1542" w:type="dxa"/>
            <w:vAlign w:val="top"/>
          </w:tcPr>
          <w:p>
            <w:pPr>
              <w:spacing w:line="360" w:lineRule="auto"/>
              <w:jc w:val="center"/>
              <w:rPr>
                <w:rFonts w:hint="eastAsia" w:eastAsia="宋体"/>
                <w:b w:val="0"/>
                <w:bCs w:val="0"/>
                <w:color w:val="auto"/>
                <w:sz w:val="20"/>
                <w:szCs w:val="20"/>
                <w:highlight w:val="none"/>
                <w:lang w:eastAsia="zh-CN"/>
              </w:rPr>
            </w:pPr>
            <w:r>
              <w:rPr>
                <w:rFonts w:hint="eastAsia"/>
                <w:b w:val="0"/>
                <w:bCs w:val="0"/>
                <w:color w:val="auto"/>
                <w:sz w:val="20"/>
                <w:szCs w:val="20"/>
                <w:highlight w:val="none"/>
                <w:lang w:eastAsia="zh-CN"/>
              </w:rPr>
              <w:t>上海三菱电梯</w:t>
            </w:r>
          </w:p>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LEHY-IIIB</w:t>
            </w:r>
          </w:p>
        </w:tc>
        <w:tc>
          <w:tcPr>
            <w:tcW w:w="1063"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1.75</w:t>
            </w:r>
          </w:p>
        </w:tc>
        <w:tc>
          <w:tcPr>
            <w:tcW w:w="1183"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5/5</w:t>
            </w:r>
          </w:p>
        </w:tc>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3</w:t>
            </w:r>
          </w:p>
        </w:tc>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12</w:t>
            </w:r>
          </w:p>
        </w:tc>
        <w:tc>
          <w:tcPr>
            <w:tcW w:w="1200" w:type="dxa"/>
          </w:tcPr>
          <w:p>
            <w:pPr>
              <w:spacing w:after="78" w:afterLines="25" w:line="300" w:lineRule="auto"/>
              <w:jc w:val="center"/>
              <w:rPr>
                <w:rFonts w:hint="default" w:eastAsia="宋体"/>
                <w:b w:val="0"/>
                <w:bCs w:val="0"/>
                <w:color w:val="auto"/>
                <w:sz w:val="20"/>
                <w:szCs w:val="20"/>
                <w:highlight w:val="none"/>
                <w:vertAlign w:val="baseline"/>
                <w:lang w:val="en-US" w:eastAsia="zh-CN"/>
              </w:rPr>
            </w:pPr>
            <w:r>
              <w:rPr>
                <w:rFonts w:hint="eastAsia"/>
                <w:b w:val="0"/>
                <w:bCs w:val="0"/>
                <w:color w:val="auto"/>
                <w:sz w:val="20"/>
                <w:szCs w:val="20"/>
                <w:highlight w:val="none"/>
                <w:vertAlign w:val="baseline"/>
                <w:lang w:val="en-US" w:eastAsia="zh-CN"/>
              </w:rPr>
              <w:t>1600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24</w:t>
            </w:r>
          </w:p>
        </w:tc>
        <w:tc>
          <w:tcPr>
            <w:tcW w:w="1542" w:type="dxa"/>
            <w:vAlign w:val="top"/>
          </w:tcPr>
          <w:p>
            <w:pPr>
              <w:spacing w:line="360" w:lineRule="auto"/>
              <w:jc w:val="center"/>
              <w:rPr>
                <w:rFonts w:hint="eastAsia" w:eastAsia="宋体"/>
                <w:b w:val="0"/>
                <w:bCs w:val="0"/>
                <w:color w:val="auto"/>
                <w:sz w:val="20"/>
                <w:szCs w:val="20"/>
                <w:highlight w:val="none"/>
                <w:lang w:eastAsia="zh-CN"/>
              </w:rPr>
            </w:pPr>
            <w:r>
              <w:rPr>
                <w:rFonts w:hint="eastAsia"/>
                <w:b w:val="0"/>
                <w:bCs w:val="0"/>
                <w:color w:val="auto"/>
                <w:sz w:val="20"/>
                <w:szCs w:val="20"/>
                <w:highlight w:val="none"/>
                <w:lang w:eastAsia="zh-CN"/>
              </w:rPr>
              <w:t>上海三菱电梯</w:t>
            </w:r>
          </w:p>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LEHY-IIIB</w:t>
            </w:r>
          </w:p>
        </w:tc>
        <w:tc>
          <w:tcPr>
            <w:tcW w:w="1063"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1.0</w:t>
            </w:r>
          </w:p>
        </w:tc>
        <w:tc>
          <w:tcPr>
            <w:tcW w:w="1183"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4/4</w:t>
            </w:r>
          </w:p>
        </w:tc>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w:t>
            </w:r>
          </w:p>
        </w:tc>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12</w:t>
            </w:r>
          </w:p>
        </w:tc>
        <w:tc>
          <w:tcPr>
            <w:tcW w:w="1200" w:type="dxa"/>
          </w:tcPr>
          <w:p>
            <w:pPr>
              <w:spacing w:after="78" w:afterLines="25" w:line="300" w:lineRule="auto"/>
              <w:jc w:val="center"/>
              <w:rPr>
                <w:rFonts w:hint="default" w:eastAsia="宋体"/>
                <w:b w:val="0"/>
                <w:bCs w:val="0"/>
                <w:color w:val="auto"/>
                <w:sz w:val="20"/>
                <w:szCs w:val="20"/>
                <w:highlight w:val="none"/>
                <w:vertAlign w:val="baseline"/>
                <w:lang w:val="en-US" w:eastAsia="zh-CN"/>
              </w:rPr>
            </w:pPr>
            <w:r>
              <w:rPr>
                <w:rFonts w:hint="eastAsia"/>
                <w:b w:val="0"/>
                <w:bCs w:val="0"/>
                <w:color w:val="auto"/>
                <w:sz w:val="20"/>
                <w:szCs w:val="20"/>
                <w:highlight w:val="none"/>
                <w:vertAlign w:val="baseline"/>
                <w:lang w:val="en-US" w:eastAsia="zh-CN"/>
              </w:rPr>
              <w:t>1600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25</w:t>
            </w:r>
          </w:p>
        </w:tc>
        <w:tc>
          <w:tcPr>
            <w:tcW w:w="1542" w:type="dxa"/>
            <w:vAlign w:val="top"/>
          </w:tcPr>
          <w:p>
            <w:pPr>
              <w:spacing w:line="360" w:lineRule="auto"/>
              <w:jc w:val="center"/>
              <w:rPr>
                <w:rFonts w:hint="eastAsia" w:eastAsia="宋体"/>
                <w:b w:val="0"/>
                <w:bCs w:val="0"/>
                <w:color w:val="auto"/>
                <w:sz w:val="20"/>
                <w:szCs w:val="20"/>
                <w:highlight w:val="none"/>
                <w:lang w:eastAsia="zh-CN"/>
              </w:rPr>
            </w:pPr>
            <w:r>
              <w:rPr>
                <w:rFonts w:hint="eastAsia"/>
                <w:b w:val="0"/>
                <w:bCs w:val="0"/>
                <w:color w:val="auto"/>
                <w:sz w:val="20"/>
                <w:szCs w:val="20"/>
                <w:highlight w:val="none"/>
                <w:lang w:eastAsia="zh-CN"/>
              </w:rPr>
              <w:t>上海三菱电梯</w:t>
            </w:r>
          </w:p>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ELENESSA</w:t>
            </w:r>
          </w:p>
        </w:tc>
        <w:tc>
          <w:tcPr>
            <w:tcW w:w="1063"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1.0</w:t>
            </w:r>
          </w:p>
        </w:tc>
        <w:tc>
          <w:tcPr>
            <w:tcW w:w="1183"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2/2</w:t>
            </w:r>
          </w:p>
        </w:tc>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w:t>
            </w:r>
          </w:p>
        </w:tc>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12</w:t>
            </w:r>
          </w:p>
        </w:tc>
        <w:tc>
          <w:tcPr>
            <w:tcW w:w="1200" w:type="dxa"/>
          </w:tcPr>
          <w:p>
            <w:pPr>
              <w:spacing w:after="78" w:afterLines="25" w:line="300" w:lineRule="auto"/>
              <w:jc w:val="center"/>
              <w:rPr>
                <w:rFonts w:hint="default" w:eastAsia="宋体"/>
                <w:b w:val="0"/>
                <w:bCs w:val="0"/>
                <w:color w:val="auto"/>
                <w:sz w:val="20"/>
                <w:szCs w:val="20"/>
                <w:highlight w:val="none"/>
                <w:vertAlign w:val="baseline"/>
                <w:lang w:val="en-US" w:eastAsia="zh-CN"/>
              </w:rPr>
            </w:pPr>
            <w:r>
              <w:rPr>
                <w:rFonts w:hint="eastAsia"/>
                <w:b w:val="0"/>
                <w:bCs w:val="0"/>
                <w:color w:val="auto"/>
                <w:sz w:val="20"/>
                <w:szCs w:val="20"/>
                <w:highlight w:val="none"/>
                <w:vertAlign w:val="baseline"/>
                <w:lang w:val="en-US" w:eastAsia="zh-CN"/>
              </w:rPr>
              <w:t>1600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26</w:t>
            </w:r>
          </w:p>
        </w:tc>
        <w:tc>
          <w:tcPr>
            <w:tcW w:w="1542" w:type="dxa"/>
            <w:vAlign w:val="top"/>
          </w:tcPr>
          <w:p>
            <w:pPr>
              <w:spacing w:line="360" w:lineRule="auto"/>
              <w:jc w:val="center"/>
              <w:rPr>
                <w:rFonts w:hint="eastAsia" w:eastAsia="宋体"/>
                <w:b w:val="0"/>
                <w:bCs w:val="0"/>
                <w:color w:val="auto"/>
                <w:sz w:val="20"/>
                <w:szCs w:val="20"/>
                <w:highlight w:val="none"/>
                <w:lang w:eastAsia="zh-CN"/>
              </w:rPr>
            </w:pPr>
            <w:r>
              <w:rPr>
                <w:rFonts w:hint="eastAsia"/>
                <w:b w:val="0"/>
                <w:bCs w:val="0"/>
                <w:color w:val="auto"/>
                <w:sz w:val="20"/>
                <w:szCs w:val="20"/>
                <w:highlight w:val="none"/>
                <w:lang w:eastAsia="zh-CN"/>
              </w:rPr>
              <w:t>上海三菱电梯</w:t>
            </w:r>
          </w:p>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LEHY-IIIB</w:t>
            </w:r>
          </w:p>
        </w:tc>
        <w:tc>
          <w:tcPr>
            <w:tcW w:w="1063"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1.75</w:t>
            </w:r>
          </w:p>
        </w:tc>
        <w:tc>
          <w:tcPr>
            <w:tcW w:w="1183"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4/4</w:t>
            </w:r>
          </w:p>
        </w:tc>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w:t>
            </w:r>
          </w:p>
        </w:tc>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12</w:t>
            </w:r>
          </w:p>
        </w:tc>
        <w:tc>
          <w:tcPr>
            <w:tcW w:w="1200" w:type="dxa"/>
          </w:tcPr>
          <w:p>
            <w:pPr>
              <w:spacing w:after="78" w:afterLines="25" w:line="300" w:lineRule="auto"/>
              <w:jc w:val="center"/>
              <w:rPr>
                <w:rFonts w:hint="default" w:eastAsia="宋体"/>
                <w:b w:val="0"/>
                <w:bCs w:val="0"/>
                <w:color w:val="auto"/>
                <w:sz w:val="20"/>
                <w:szCs w:val="20"/>
                <w:highlight w:val="none"/>
                <w:vertAlign w:val="baseline"/>
                <w:lang w:val="en-US" w:eastAsia="zh-CN"/>
              </w:rPr>
            </w:pPr>
            <w:r>
              <w:rPr>
                <w:rFonts w:hint="eastAsia"/>
                <w:b w:val="0"/>
                <w:bCs w:val="0"/>
                <w:color w:val="auto"/>
                <w:sz w:val="20"/>
                <w:szCs w:val="20"/>
                <w:highlight w:val="none"/>
                <w:vertAlign w:val="baseline"/>
                <w:lang w:val="en-US" w:eastAsia="zh-CN"/>
              </w:rPr>
              <w:t>1600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27、28</w:t>
            </w:r>
          </w:p>
        </w:tc>
        <w:tc>
          <w:tcPr>
            <w:tcW w:w="1542" w:type="dxa"/>
            <w:vAlign w:val="top"/>
          </w:tcPr>
          <w:p>
            <w:pPr>
              <w:spacing w:line="360" w:lineRule="auto"/>
              <w:jc w:val="center"/>
              <w:rPr>
                <w:rFonts w:hint="eastAsia" w:eastAsia="宋体"/>
                <w:b w:val="0"/>
                <w:bCs w:val="0"/>
                <w:color w:val="auto"/>
                <w:sz w:val="20"/>
                <w:szCs w:val="20"/>
                <w:highlight w:val="none"/>
                <w:lang w:eastAsia="zh-CN"/>
              </w:rPr>
            </w:pPr>
            <w:r>
              <w:rPr>
                <w:rFonts w:hint="eastAsia"/>
                <w:b w:val="0"/>
                <w:bCs w:val="0"/>
                <w:color w:val="auto"/>
                <w:sz w:val="20"/>
                <w:szCs w:val="20"/>
                <w:highlight w:val="none"/>
                <w:lang w:eastAsia="zh-CN"/>
              </w:rPr>
              <w:t>上海三菱电梯</w:t>
            </w:r>
          </w:p>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ELENESSA</w:t>
            </w:r>
          </w:p>
        </w:tc>
        <w:tc>
          <w:tcPr>
            <w:tcW w:w="1063"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1.0</w:t>
            </w:r>
          </w:p>
        </w:tc>
        <w:tc>
          <w:tcPr>
            <w:tcW w:w="1183"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3/3</w:t>
            </w:r>
          </w:p>
        </w:tc>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2</w:t>
            </w:r>
          </w:p>
        </w:tc>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12</w:t>
            </w:r>
          </w:p>
        </w:tc>
        <w:tc>
          <w:tcPr>
            <w:tcW w:w="1200" w:type="dxa"/>
          </w:tcPr>
          <w:p>
            <w:pPr>
              <w:spacing w:after="78" w:afterLines="25" w:line="300" w:lineRule="auto"/>
              <w:jc w:val="center"/>
              <w:rPr>
                <w:rFonts w:hint="default" w:eastAsia="宋体"/>
                <w:b w:val="0"/>
                <w:bCs w:val="0"/>
                <w:color w:val="auto"/>
                <w:sz w:val="20"/>
                <w:szCs w:val="20"/>
                <w:highlight w:val="none"/>
                <w:vertAlign w:val="baseline"/>
                <w:lang w:val="en-US" w:eastAsia="zh-CN"/>
              </w:rPr>
            </w:pPr>
            <w:r>
              <w:rPr>
                <w:rFonts w:hint="eastAsia"/>
                <w:b w:val="0"/>
                <w:bCs w:val="0"/>
                <w:color w:val="auto"/>
                <w:sz w:val="20"/>
                <w:szCs w:val="20"/>
                <w:highlight w:val="none"/>
                <w:vertAlign w:val="baseline"/>
                <w:lang w:val="en-US" w:eastAsia="zh-CN"/>
              </w:rPr>
              <w:t>1275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29</w:t>
            </w:r>
          </w:p>
        </w:tc>
        <w:tc>
          <w:tcPr>
            <w:tcW w:w="1542" w:type="dxa"/>
            <w:vAlign w:val="top"/>
          </w:tcPr>
          <w:p>
            <w:pPr>
              <w:spacing w:line="360" w:lineRule="auto"/>
              <w:jc w:val="center"/>
              <w:rPr>
                <w:rFonts w:hint="eastAsia" w:eastAsia="宋体"/>
                <w:b w:val="0"/>
                <w:bCs w:val="0"/>
                <w:color w:val="auto"/>
                <w:sz w:val="20"/>
                <w:szCs w:val="20"/>
                <w:highlight w:val="none"/>
                <w:lang w:eastAsia="zh-CN"/>
              </w:rPr>
            </w:pPr>
            <w:r>
              <w:rPr>
                <w:rFonts w:hint="eastAsia"/>
                <w:b w:val="0"/>
                <w:bCs w:val="0"/>
                <w:color w:val="auto"/>
                <w:sz w:val="20"/>
                <w:szCs w:val="20"/>
                <w:highlight w:val="none"/>
                <w:lang w:eastAsia="zh-CN"/>
              </w:rPr>
              <w:t>上海三菱电梯</w:t>
            </w:r>
          </w:p>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LEHY-IIIB</w:t>
            </w:r>
          </w:p>
        </w:tc>
        <w:tc>
          <w:tcPr>
            <w:tcW w:w="1063"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1.75</w:t>
            </w:r>
          </w:p>
        </w:tc>
        <w:tc>
          <w:tcPr>
            <w:tcW w:w="1183"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12/12</w:t>
            </w:r>
          </w:p>
        </w:tc>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lang w:val="en-US" w:eastAsia="zh-CN"/>
              </w:rPr>
              <w:t>1</w:t>
            </w:r>
          </w:p>
        </w:tc>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12</w:t>
            </w:r>
          </w:p>
        </w:tc>
        <w:tc>
          <w:tcPr>
            <w:tcW w:w="1200" w:type="dxa"/>
          </w:tcPr>
          <w:p>
            <w:pPr>
              <w:spacing w:after="78" w:afterLines="25" w:line="300" w:lineRule="auto"/>
              <w:jc w:val="center"/>
              <w:rPr>
                <w:rFonts w:hint="default" w:eastAsia="宋体"/>
                <w:b w:val="0"/>
                <w:bCs w:val="0"/>
                <w:color w:val="auto"/>
                <w:sz w:val="20"/>
                <w:szCs w:val="20"/>
                <w:highlight w:val="none"/>
                <w:vertAlign w:val="baseline"/>
                <w:lang w:val="en-US" w:eastAsia="zh-CN"/>
              </w:rPr>
            </w:pPr>
            <w:r>
              <w:rPr>
                <w:rFonts w:hint="eastAsia"/>
                <w:b w:val="0"/>
                <w:bCs w:val="0"/>
                <w:color w:val="auto"/>
                <w:sz w:val="20"/>
                <w:szCs w:val="20"/>
                <w:highlight w:val="none"/>
                <w:vertAlign w:val="baseline"/>
                <w:lang w:val="en-US" w:eastAsia="zh-CN"/>
              </w:rPr>
              <w:t>1600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30</w:t>
            </w:r>
          </w:p>
        </w:tc>
        <w:tc>
          <w:tcPr>
            <w:tcW w:w="1542" w:type="dxa"/>
            <w:vAlign w:val="top"/>
          </w:tcPr>
          <w:p>
            <w:pPr>
              <w:spacing w:line="360" w:lineRule="auto"/>
              <w:jc w:val="center"/>
              <w:rPr>
                <w:rFonts w:hint="eastAsia" w:eastAsia="宋体"/>
                <w:b w:val="0"/>
                <w:bCs w:val="0"/>
                <w:color w:val="auto"/>
                <w:sz w:val="20"/>
                <w:szCs w:val="20"/>
                <w:highlight w:val="none"/>
                <w:lang w:eastAsia="zh-CN"/>
              </w:rPr>
            </w:pPr>
            <w:r>
              <w:rPr>
                <w:rFonts w:hint="eastAsia"/>
                <w:b w:val="0"/>
                <w:bCs w:val="0"/>
                <w:color w:val="auto"/>
                <w:sz w:val="20"/>
                <w:szCs w:val="20"/>
                <w:highlight w:val="none"/>
                <w:lang w:eastAsia="zh-CN"/>
              </w:rPr>
              <w:t>上海三菱电梯</w:t>
            </w:r>
          </w:p>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LEHY-III-S</w:t>
            </w:r>
          </w:p>
        </w:tc>
        <w:tc>
          <w:tcPr>
            <w:tcW w:w="1063"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1.75</w:t>
            </w:r>
          </w:p>
        </w:tc>
        <w:tc>
          <w:tcPr>
            <w:tcW w:w="1183"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12/12</w:t>
            </w:r>
          </w:p>
        </w:tc>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w:t>
            </w:r>
          </w:p>
        </w:tc>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12</w:t>
            </w:r>
          </w:p>
        </w:tc>
        <w:tc>
          <w:tcPr>
            <w:tcW w:w="1200" w:type="dxa"/>
          </w:tcPr>
          <w:p>
            <w:pPr>
              <w:spacing w:after="78" w:afterLines="25" w:line="300" w:lineRule="auto"/>
              <w:jc w:val="center"/>
              <w:rPr>
                <w:rFonts w:hint="default" w:eastAsia="宋体"/>
                <w:b w:val="0"/>
                <w:bCs w:val="0"/>
                <w:color w:val="auto"/>
                <w:sz w:val="20"/>
                <w:szCs w:val="20"/>
                <w:highlight w:val="none"/>
                <w:vertAlign w:val="baseline"/>
                <w:lang w:val="en-US" w:eastAsia="zh-CN"/>
              </w:rPr>
            </w:pPr>
            <w:r>
              <w:rPr>
                <w:rFonts w:hint="eastAsia"/>
                <w:b w:val="0"/>
                <w:bCs w:val="0"/>
                <w:color w:val="auto"/>
                <w:sz w:val="20"/>
                <w:szCs w:val="20"/>
                <w:highlight w:val="none"/>
                <w:vertAlign w:val="baseline"/>
                <w:lang w:val="en-US" w:eastAsia="zh-CN"/>
              </w:rPr>
              <w:t>1050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8" w:type="dxa"/>
            <w:vAlign w:val="top"/>
          </w:tcPr>
          <w:p>
            <w:pPr>
              <w:spacing w:line="360" w:lineRule="auto"/>
              <w:jc w:val="center"/>
              <w:rPr>
                <w:rFonts w:hint="default" w:eastAsia="宋体"/>
                <w:b w:val="0"/>
                <w:bCs w:val="0"/>
                <w:color w:val="auto"/>
                <w:sz w:val="20"/>
                <w:szCs w:val="20"/>
                <w:highlight w:val="none"/>
                <w:lang w:val="en-US" w:eastAsia="zh-CN"/>
              </w:rPr>
            </w:pPr>
            <w:r>
              <w:rPr>
                <w:rFonts w:hint="eastAsia"/>
                <w:b w:val="0"/>
                <w:bCs w:val="0"/>
                <w:color w:val="auto"/>
                <w:sz w:val="20"/>
                <w:szCs w:val="20"/>
                <w:highlight w:val="none"/>
                <w:lang w:val="en-US" w:eastAsia="zh-CN"/>
              </w:rPr>
              <w:t>31</w:t>
            </w:r>
          </w:p>
        </w:tc>
        <w:tc>
          <w:tcPr>
            <w:tcW w:w="1542" w:type="dxa"/>
            <w:vAlign w:val="top"/>
          </w:tcPr>
          <w:p>
            <w:pPr>
              <w:spacing w:line="360" w:lineRule="auto"/>
              <w:jc w:val="center"/>
              <w:rPr>
                <w:rFonts w:hint="eastAsia" w:eastAsia="宋体"/>
                <w:b w:val="0"/>
                <w:bCs w:val="0"/>
                <w:color w:val="auto"/>
                <w:sz w:val="20"/>
                <w:szCs w:val="20"/>
                <w:highlight w:val="none"/>
                <w:lang w:eastAsia="zh-CN"/>
              </w:rPr>
            </w:pPr>
            <w:r>
              <w:rPr>
                <w:rFonts w:hint="eastAsia"/>
                <w:b w:val="0"/>
                <w:bCs w:val="0"/>
                <w:color w:val="auto"/>
                <w:sz w:val="20"/>
                <w:szCs w:val="20"/>
                <w:highlight w:val="none"/>
                <w:lang w:eastAsia="zh-CN"/>
              </w:rPr>
              <w:t>上海三菱电梯</w:t>
            </w:r>
          </w:p>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LEHY-IIIB</w:t>
            </w:r>
          </w:p>
        </w:tc>
        <w:tc>
          <w:tcPr>
            <w:tcW w:w="1063"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1.75</w:t>
            </w:r>
          </w:p>
        </w:tc>
        <w:tc>
          <w:tcPr>
            <w:tcW w:w="1183"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12/12</w:t>
            </w:r>
          </w:p>
        </w:tc>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lang w:val="en-US" w:eastAsia="zh-CN"/>
              </w:rPr>
              <w:t>1</w:t>
            </w:r>
          </w:p>
        </w:tc>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12</w:t>
            </w:r>
          </w:p>
        </w:tc>
        <w:tc>
          <w:tcPr>
            <w:tcW w:w="1200" w:type="dxa"/>
          </w:tcPr>
          <w:p>
            <w:pPr>
              <w:spacing w:after="78" w:afterLines="25" w:line="300" w:lineRule="auto"/>
              <w:jc w:val="center"/>
              <w:rPr>
                <w:rFonts w:hint="default" w:eastAsia="宋体"/>
                <w:b w:val="0"/>
                <w:bCs w:val="0"/>
                <w:color w:val="auto"/>
                <w:sz w:val="20"/>
                <w:szCs w:val="20"/>
                <w:highlight w:val="none"/>
                <w:vertAlign w:val="baseline"/>
                <w:lang w:val="en-US" w:eastAsia="zh-CN"/>
              </w:rPr>
            </w:pPr>
            <w:r>
              <w:rPr>
                <w:rFonts w:hint="eastAsia"/>
                <w:b w:val="0"/>
                <w:bCs w:val="0"/>
                <w:color w:val="auto"/>
                <w:sz w:val="20"/>
                <w:szCs w:val="20"/>
                <w:highlight w:val="none"/>
                <w:vertAlign w:val="baseline"/>
                <w:lang w:val="en-US" w:eastAsia="zh-CN"/>
              </w:rPr>
              <w:t>1600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32</w:t>
            </w:r>
          </w:p>
        </w:tc>
        <w:tc>
          <w:tcPr>
            <w:tcW w:w="1542" w:type="dxa"/>
            <w:vAlign w:val="top"/>
          </w:tcPr>
          <w:p>
            <w:pPr>
              <w:spacing w:line="360" w:lineRule="auto"/>
              <w:jc w:val="center"/>
              <w:rPr>
                <w:rFonts w:hint="eastAsia" w:eastAsia="宋体"/>
                <w:b w:val="0"/>
                <w:bCs w:val="0"/>
                <w:color w:val="auto"/>
                <w:sz w:val="20"/>
                <w:szCs w:val="20"/>
                <w:highlight w:val="none"/>
                <w:lang w:eastAsia="zh-CN"/>
              </w:rPr>
            </w:pPr>
            <w:r>
              <w:rPr>
                <w:rFonts w:hint="eastAsia"/>
                <w:b w:val="0"/>
                <w:bCs w:val="0"/>
                <w:color w:val="auto"/>
                <w:sz w:val="20"/>
                <w:szCs w:val="20"/>
                <w:highlight w:val="none"/>
                <w:lang w:eastAsia="zh-CN"/>
              </w:rPr>
              <w:t>上海三菱电梯</w:t>
            </w:r>
          </w:p>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LEHY-IIIB</w:t>
            </w:r>
          </w:p>
        </w:tc>
        <w:tc>
          <w:tcPr>
            <w:tcW w:w="1063"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1.75</w:t>
            </w:r>
          </w:p>
        </w:tc>
        <w:tc>
          <w:tcPr>
            <w:tcW w:w="1183"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12/12</w:t>
            </w:r>
          </w:p>
        </w:tc>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w:t>
            </w:r>
          </w:p>
        </w:tc>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12</w:t>
            </w:r>
          </w:p>
        </w:tc>
        <w:tc>
          <w:tcPr>
            <w:tcW w:w="1200" w:type="dxa"/>
          </w:tcPr>
          <w:p>
            <w:pPr>
              <w:spacing w:after="78" w:afterLines="25" w:line="300" w:lineRule="auto"/>
              <w:jc w:val="center"/>
              <w:rPr>
                <w:rFonts w:hint="default" w:eastAsia="宋体"/>
                <w:b w:val="0"/>
                <w:bCs w:val="0"/>
                <w:color w:val="auto"/>
                <w:sz w:val="20"/>
                <w:szCs w:val="20"/>
                <w:highlight w:val="none"/>
                <w:vertAlign w:val="baseline"/>
                <w:lang w:val="en-US" w:eastAsia="zh-CN"/>
              </w:rPr>
            </w:pPr>
            <w:r>
              <w:rPr>
                <w:rFonts w:hint="eastAsia"/>
                <w:b w:val="0"/>
                <w:bCs w:val="0"/>
                <w:color w:val="auto"/>
                <w:sz w:val="20"/>
                <w:szCs w:val="20"/>
                <w:highlight w:val="none"/>
                <w:vertAlign w:val="baseline"/>
                <w:lang w:val="en-US" w:eastAsia="zh-CN"/>
              </w:rPr>
              <w:t>1600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33</w:t>
            </w:r>
          </w:p>
        </w:tc>
        <w:tc>
          <w:tcPr>
            <w:tcW w:w="1542" w:type="dxa"/>
            <w:vAlign w:val="top"/>
          </w:tcPr>
          <w:p>
            <w:pPr>
              <w:spacing w:line="360" w:lineRule="auto"/>
              <w:jc w:val="center"/>
              <w:rPr>
                <w:rFonts w:hint="eastAsia" w:eastAsia="宋体"/>
                <w:b w:val="0"/>
                <w:bCs w:val="0"/>
                <w:color w:val="auto"/>
                <w:sz w:val="20"/>
                <w:szCs w:val="20"/>
                <w:highlight w:val="none"/>
                <w:lang w:eastAsia="zh-CN"/>
              </w:rPr>
            </w:pPr>
            <w:r>
              <w:rPr>
                <w:rFonts w:hint="eastAsia"/>
                <w:b w:val="0"/>
                <w:bCs w:val="0"/>
                <w:color w:val="auto"/>
                <w:sz w:val="20"/>
                <w:szCs w:val="20"/>
                <w:highlight w:val="none"/>
                <w:lang w:eastAsia="zh-CN"/>
              </w:rPr>
              <w:t>上海三菱电梯</w:t>
            </w:r>
          </w:p>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LEHY-IIIB</w:t>
            </w:r>
          </w:p>
        </w:tc>
        <w:tc>
          <w:tcPr>
            <w:tcW w:w="1063"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1.75</w:t>
            </w:r>
          </w:p>
        </w:tc>
        <w:tc>
          <w:tcPr>
            <w:tcW w:w="1183"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12/12</w:t>
            </w:r>
          </w:p>
        </w:tc>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w:t>
            </w:r>
          </w:p>
        </w:tc>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12</w:t>
            </w:r>
          </w:p>
        </w:tc>
        <w:tc>
          <w:tcPr>
            <w:tcW w:w="1200" w:type="dxa"/>
          </w:tcPr>
          <w:p>
            <w:pPr>
              <w:spacing w:after="78" w:afterLines="25" w:line="300" w:lineRule="auto"/>
              <w:jc w:val="center"/>
              <w:rPr>
                <w:rFonts w:hint="default" w:eastAsia="宋体"/>
                <w:b w:val="0"/>
                <w:bCs w:val="0"/>
                <w:color w:val="auto"/>
                <w:sz w:val="20"/>
                <w:szCs w:val="20"/>
                <w:highlight w:val="none"/>
                <w:vertAlign w:val="baseline"/>
                <w:lang w:val="en-US" w:eastAsia="zh-CN"/>
              </w:rPr>
            </w:pPr>
            <w:r>
              <w:rPr>
                <w:rFonts w:hint="eastAsia"/>
                <w:b w:val="0"/>
                <w:bCs w:val="0"/>
                <w:color w:val="auto"/>
                <w:sz w:val="20"/>
                <w:szCs w:val="20"/>
                <w:highlight w:val="none"/>
                <w:vertAlign w:val="baseline"/>
                <w:lang w:val="en-US" w:eastAsia="zh-CN"/>
              </w:rPr>
              <w:t>1600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34、35</w:t>
            </w:r>
          </w:p>
        </w:tc>
        <w:tc>
          <w:tcPr>
            <w:tcW w:w="1542" w:type="dxa"/>
            <w:vAlign w:val="top"/>
          </w:tcPr>
          <w:p>
            <w:pPr>
              <w:spacing w:line="360" w:lineRule="auto"/>
              <w:jc w:val="center"/>
              <w:rPr>
                <w:rFonts w:hint="eastAsia" w:eastAsia="宋体"/>
                <w:b w:val="0"/>
                <w:bCs w:val="0"/>
                <w:color w:val="auto"/>
                <w:sz w:val="20"/>
                <w:szCs w:val="20"/>
                <w:highlight w:val="none"/>
                <w:lang w:eastAsia="zh-CN"/>
              </w:rPr>
            </w:pPr>
            <w:r>
              <w:rPr>
                <w:rFonts w:hint="eastAsia"/>
                <w:b w:val="0"/>
                <w:bCs w:val="0"/>
                <w:color w:val="auto"/>
                <w:sz w:val="20"/>
                <w:szCs w:val="20"/>
                <w:highlight w:val="none"/>
                <w:lang w:eastAsia="zh-CN"/>
              </w:rPr>
              <w:t>上海三菱电梯</w:t>
            </w:r>
          </w:p>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LEHY-III-S</w:t>
            </w:r>
          </w:p>
        </w:tc>
        <w:tc>
          <w:tcPr>
            <w:tcW w:w="1063"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1.75</w:t>
            </w:r>
          </w:p>
        </w:tc>
        <w:tc>
          <w:tcPr>
            <w:tcW w:w="1183"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12/12</w:t>
            </w:r>
          </w:p>
        </w:tc>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2</w:t>
            </w:r>
          </w:p>
        </w:tc>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12</w:t>
            </w:r>
          </w:p>
        </w:tc>
        <w:tc>
          <w:tcPr>
            <w:tcW w:w="1200" w:type="dxa"/>
          </w:tcPr>
          <w:p>
            <w:pPr>
              <w:spacing w:after="78" w:afterLines="25" w:line="300" w:lineRule="auto"/>
              <w:jc w:val="center"/>
              <w:rPr>
                <w:rFonts w:hint="default" w:eastAsia="宋体"/>
                <w:b w:val="0"/>
                <w:bCs w:val="0"/>
                <w:color w:val="auto"/>
                <w:sz w:val="20"/>
                <w:szCs w:val="20"/>
                <w:highlight w:val="none"/>
                <w:vertAlign w:val="baseline"/>
                <w:lang w:val="en-US" w:eastAsia="zh-CN"/>
              </w:rPr>
            </w:pPr>
            <w:r>
              <w:rPr>
                <w:rFonts w:hint="eastAsia"/>
                <w:b w:val="0"/>
                <w:bCs w:val="0"/>
                <w:color w:val="auto"/>
                <w:sz w:val="20"/>
                <w:szCs w:val="20"/>
                <w:highlight w:val="none"/>
                <w:vertAlign w:val="baseline"/>
                <w:lang w:val="en-US" w:eastAsia="zh-CN"/>
              </w:rPr>
              <w:t>1050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36、37</w:t>
            </w:r>
          </w:p>
        </w:tc>
        <w:tc>
          <w:tcPr>
            <w:tcW w:w="1542" w:type="dxa"/>
            <w:vAlign w:val="top"/>
          </w:tcPr>
          <w:p>
            <w:pPr>
              <w:spacing w:line="360" w:lineRule="auto"/>
              <w:jc w:val="center"/>
              <w:rPr>
                <w:rFonts w:hint="eastAsia" w:eastAsia="宋体"/>
                <w:b w:val="0"/>
                <w:bCs w:val="0"/>
                <w:color w:val="auto"/>
                <w:sz w:val="20"/>
                <w:szCs w:val="20"/>
                <w:highlight w:val="none"/>
                <w:lang w:eastAsia="zh-CN"/>
              </w:rPr>
            </w:pPr>
            <w:r>
              <w:rPr>
                <w:rFonts w:hint="eastAsia"/>
                <w:b w:val="0"/>
                <w:bCs w:val="0"/>
                <w:color w:val="auto"/>
                <w:sz w:val="20"/>
                <w:szCs w:val="20"/>
                <w:highlight w:val="none"/>
                <w:lang w:eastAsia="zh-CN"/>
              </w:rPr>
              <w:t>上海三菱电梯</w:t>
            </w:r>
          </w:p>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ELE-NZ31S</w:t>
            </w:r>
          </w:p>
        </w:tc>
        <w:tc>
          <w:tcPr>
            <w:tcW w:w="1063"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1.0</w:t>
            </w:r>
          </w:p>
        </w:tc>
        <w:tc>
          <w:tcPr>
            <w:tcW w:w="1183"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3/3</w:t>
            </w:r>
          </w:p>
        </w:tc>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2</w:t>
            </w:r>
          </w:p>
        </w:tc>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12</w:t>
            </w:r>
          </w:p>
        </w:tc>
        <w:tc>
          <w:tcPr>
            <w:tcW w:w="1200" w:type="dxa"/>
          </w:tcPr>
          <w:p>
            <w:pPr>
              <w:spacing w:after="78" w:afterLines="25" w:line="300" w:lineRule="auto"/>
              <w:jc w:val="center"/>
              <w:rPr>
                <w:rFonts w:hint="default" w:eastAsia="宋体"/>
                <w:b w:val="0"/>
                <w:bCs w:val="0"/>
                <w:color w:val="auto"/>
                <w:sz w:val="20"/>
                <w:szCs w:val="20"/>
                <w:highlight w:val="none"/>
                <w:vertAlign w:val="baseline"/>
                <w:lang w:val="en-US" w:eastAsia="zh-CN"/>
              </w:rPr>
            </w:pPr>
            <w:r>
              <w:rPr>
                <w:rFonts w:hint="eastAsia"/>
                <w:b w:val="0"/>
                <w:bCs w:val="0"/>
                <w:color w:val="auto"/>
                <w:sz w:val="20"/>
                <w:szCs w:val="20"/>
                <w:highlight w:val="none"/>
                <w:vertAlign w:val="baseline"/>
                <w:lang w:val="en-US" w:eastAsia="zh-CN"/>
              </w:rPr>
              <w:t>825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38</w:t>
            </w:r>
          </w:p>
        </w:tc>
        <w:tc>
          <w:tcPr>
            <w:tcW w:w="1542" w:type="dxa"/>
            <w:vAlign w:val="top"/>
          </w:tcPr>
          <w:p>
            <w:pPr>
              <w:spacing w:line="360" w:lineRule="auto"/>
              <w:jc w:val="center"/>
              <w:rPr>
                <w:rFonts w:hint="eastAsia" w:eastAsia="宋体"/>
                <w:b w:val="0"/>
                <w:bCs w:val="0"/>
                <w:color w:val="auto"/>
                <w:sz w:val="20"/>
                <w:szCs w:val="20"/>
                <w:highlight w:val="none"/>
                <w:lang w:eastAsia="zh-CN"/>
              </w:rPr>
            </w:pPr>
            <w:r>
              <w:rPr>
                <w:rFonts w:hint="eastAsia"/>
                <w:b w:val="0"/>
                <w:bCs w:val="0"/>
                <w:color w:val="auto"/>
                <w:sz w:val="20"/>
                <w:szCs w:val="20"/>
                <w:highlight w:val="none"/>
                <w:lang w:eastAsia="zh-CN"/>
              </w:rPr>
              <w:t>上海三菱电梯</w:t>
            </w:r>
          </w:p>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LEHY-MRL-II</w:t>
            </w:r>
          </w:p>
        </w:tc>
        <w:tc>
          <w:tcPr>
            <w:tcW w:w="1063"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1.0</w:t>
            </w:r>
          </w:p>
        </w:tc>
        <w:tc>
          <w:tcPr>
            <w:tcW w:w="1183"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2/2</w:t>
            </w:r>
          </w:p>
        </w:tc>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w:t>
            </w:r>
          </w:p>
        </w:tc>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12</w:t>
            </w:r>
          </w:p>
        </w:tc>
        <w:tc>
          <w:tcPr>
            <w:tcW w:w="1200" w:type="dxa"/>
          </w:tcPr>
          <w:p>
            <w:pPr>
              <w:spacing w:after="78" w:afterLines="25" w:line="300" w:lineRule="auto"/>
              <w:jc w:val="center"/>
              <w:rPr>
                <w:rFonts w:hint="default" w:eastAsia="宋体"/>
                <w:b w:val="0"/>
                <w:bCs w:val="0"/>
                <w:color w:val="auto"/>
                <w:sz w:val="20"/>
                <w:szCs w:val="20"/>
                <w:highlight w:val="none"/>
                <w:vertAlign w:val="baseline"/>
                <w:lang w:val="en-US" w:eastAsia="zh-CN"/>
              </w:rPr>
            </w:pPr>
            <w:r>
              <w:rPr>
                <w:rFonts w:hint="eastAsia"/>
                <w:b w:val="0"/>
                <w:bCs w:val="0"/>
                <w:color w:val="auto"/>
                <w:sz w:val="20"/>
                <w:szCs w:val="20"/>
                <w:highlight w:val="none"/>
                <w:vertAlign w:val="baseline"/>
                <w:lang w:val="en-US" w:eastAsia="zh-CN"/>
              </w:rPr>
              <w:t>1600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39</w:t>
            </w:r>
          </w:p>
        </w:tc>
        <w:tc>
          <w:tcPr>
            <w:tcW w:w="1542" w:type="dxa"/>
            <w:vAlign w:val="top"/>
          </w:tcPr>
          <w:p>
            <w:pPr>
              <w:spacing w:line="360" w:lineRule="auto"/>
              <w:jc w:val="center"/>
              <w:rPr>
                <w:rFonts w:hint="eastAsia" w:eastAsia="宋体"/>
                <w:b w:val="0"/>
                <w:bCs w:val="0"/>
                <w:color w:val="auto"/>
                <w:sz w:val="20"/>
                <w:szCs w:val="20"/>
                <w:highlight w:val="none"/>
                <w:lang w:eastAsia="zh-CN"/>
              </w:rPr>
            </w:pPr>
            <w:r>
              <w:rPr>
                <w:rFonts w:hint="eastAsia"/>
                <w:b w:val="0"/>
                <w:bCs w:val="0"/>
                <w:color w:val="auto"/>
                <w:sz w:val="20"/>
                <w:szCs w:val="20"/>
                <w:highlight w:val="none"/>
                <w:lang w:eastAsia="zh-CN"/>
              </w:rPr>
              <w:t>上海三菱电梯</w:t>
            </w:r>
          </w:p>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ELENESSA</w:t>
            </w:r>
          </w:p>
        </w:tc>
        <w:tc>
          <w:tcPr>
            <w:tcW w:w="1063"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1.75</w:t>
            </w:r>
          </w:p>
        </w:tc>
        <w:tc>
          <w:tcPr>
            <w:tcW w:w="1183"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7/7</w:t>
            </w:r>
          </w:p>
        </w:tc>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w:t>
            </w:r>
          </w:p>
        </w:tc>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12</w:t>
            </w:r>
          </w:p>
        </w:tc>
        <w:tc>
          <w:tcPr>
            <w:tcW w:w="1200" w:type="dxa"/>
          </w:tcPr>
          <w:p>
            <w:pPr>
              <w:spacing w:after="78" w:afterLines="25" w:line="300" w:lineRule="auto"/>
              <w:jc w:val="center"/>
              <w:rPr>
                <w:rFonts w:hint="default" w:eastAsia="宋体"/>
                <w:b w:val="0"/>
                <w:bCs w:val="0"/>
                <w:color w:val="auto"/>
                <w:sz w:val="20"/>
                <w:szCs w:val="20"/>
                <w:highlight w:val="none"/>
                <w:vertAlign w:val="baseline"/>
                <w:lang w:val="en-US" w:eastAsia="zh-CN"/>
              </w:rPr>
            </w:pPr>
            <w:r>
              <w:rPr>
                <w:rFonts w:hint="eastAsia"/>
                <w:b w:val="0"/>
                <w:bCs w:val="0"/>
                <w:color w:val="auto"/>
                <w:sz w:val="20"/>
                <w:szCs w:val="20"/>
                <w:highlight w:val="none"/>
                <w:vertAlign w:val="baseline"/>
                <w:lang w:val="en-US" w:eastAsia="zh-CN"/>
              </w:rPr>
              <w:t>1600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40</w:t>
            </w:r>
          </w:p>
        </w:tc>
        <w:tc>
          <w:tcPr>
            <w:tcW w:w="1542" w:type="dxa"/>
            <w:vAlign w:val="top"/>
          </w:tcPr>
          <w:p>
            <w:pPr>
              <w:spacing w:line="360" w:lineRule="auto"/>
              <w:jc w:val="center"/>
              <w:rPr>
                <w:rFonts w:hint="eastAsia" w:eastAsia="宋体"/>
                <w:b w:val="0"/>
                <w:bCs w:val="0"/>
                <w:color w:val="auto"/>
                <w:sz w:val="20"/>
                <w:szCs w:val="20"/>
                <w:highlight w:val="none"/>
                <w:lang w:eastAsia="zh-CN"/>
              </w:rPr>
            </w:pPr>
            <w:r>
              <w:rPr>
                <w:rFonts w:hint="eastAsia"/>
                <w:b w:val="0"/>
                <w:bCs w:val="0"/>
                <w:color w:val="auto"/>
                <w:sz w:val="20"/>
                <w:szCs w:val="20"/>
                <w:highlight w:val="none"/>
                <w:lang w:eastAsia="zh-CN"/>
              </w:rPr>
              <w:t>上海三菱电梯</w:t>
            </w:r>
          </w:p>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ELENESSA</w:t>
            </w:r>
          </w:p>
        </w:tc>
        <w:tc>
          <w:tcPr>
            <w:tcW w:w="1063"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1.75</w:t>
            </w:r>
          </w:p>
        </w:tc>
        <w:tc>
          <w:tcPr>
            <w:tcW w:w="1183"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7/7</w:t>
            </w:r>
          </w:p>
        </w:tc>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w:t>
            </w:r>
          </w:p>
        </w:tc>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12</w:t>
            </w:r>
          </w:p>
        </w:tc>
        <w:tc>
          <w:tcPr>
            <w:tcW w:w="1200" w:type="dxa"/>
          </w:tcPr>
          <w:p>
            <w:pPr>
              <w:spacing w:after="78" w:afterLines="25" w:line="300" w:lineRule="auto"/>
              <w:jc w:val="center"/>
              <w:rPr>
                <w:rFonts w:hint="default" w:eastAsia="宋体"/>
                <w:b w:val="0"/>
                <w:bCs w:val="0"/>
                <w:color w:val="auto"/>
                <w:sz w:val="20"/>
                <w:szCs w:val="20"/>
                <w:highlight w:val="none"/>
                <w:vertAlign w:val="baseline"/>
                <w:lang w:val="en-US" w:eastAsia="zh-CN"/>
              </w:rPr>
            </w:pPr>
            <w:r>
              <w:rPr>
                <w:rFonts w:hint="eastAsia"/>
                <w:b w:val="0"/>
                <w:bCs w:val="0"/>
                <w:color w:val="auto"/>
                <w:sz w:val="20"/>
                <w:szCs w:val="20"/>
                <w:highlight w:val="none"/>
                <w:vertAlign w:val="baseline"/>
                <w:lang w:val="en-US" w:eastAsia="zh-CN"/>
              </w:rPr>
              <w:t>1600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41</w:t>
            </w:r>
          </w:p>
        </w:tc>
        <w:tc>
          <w:tcPr>
            <w:tcW w:w="1542" w:type="dxa"/>
            <w:vAlign w:val="top"/>
          </w:tcPr>
          <w:p>
            <w:pPr>
              <w:spacing w:line="360" w:lineRule="auto"/>
              <w:jc w:val="center"/>
              <w:rPr>
                <w:rFonts w:hint="eastAsia" w:eastAsia="宋体"/>
                <w:b w:val="0"/>
                <w:bCs w:val="0"/>
                <w:color w:val="auto"/>
                <w:sz w:val="20"/>
                <w:szCs w:val="20"/>
                <w:highlight w:val="none"/>
                <w:lang w:eastAsia="zh-CN"/>
              </w:rPr>
            </w:pPr>
            <w:r>
              <w:rPr>
                <w:rFonts w:hint="eastAsia"/>
                <w:b w:val="0"/>
                <w:bCs w:val="0"/>
                <w:color w:val="auto"/>
                <w:sz w:val="20"/>
                <w:szCs w:val="20"/>
                <w:highlight w:val="none"/>
                <w:lang w:eastAsia="zh-CN"/>
              </w:rPr>
              <w:t>上海三菱电梯</w:t>
            </w:r>
          </w:p>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ELENESSA</w:t>
            </w:r>
          </w:p>
        </w:tc>
        <w:tc>
          <w:tcPr>
            <w:tcW w:w="1063"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1.75</w:t>
            </w:r>
          </w:p>
        </w:tc>
        <w:tc>
          <w:tcPr>
            <w:tcW w:w="1183"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7/7</w:t>
            </w:r>
          </w:p>
        </w:tc>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w:t>
            </w:r>
          </w:p>
        </w:tc>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12</w:t>
            </w:r>
          </w:p>
        </w:tc>
        <w:tc>
          <w:tcPr>
            <w:tcW w:w="1200" w:type="dxa"/>
          </w:tcPr>
          <w:p>
            <w:pPr>
              <w:spacing w:after="78" w:afterLines="25" w:line="300" w:lineRule="auto"/>
              <w:jc w:val="center"/>
              <w:rPr>
                <w:rFonts w:hint="default" w:eastAsia="宋体"/>
                <w:b w:val="0"/>
                <w:bCs w:val="0"/>
                <w:color w:val="auto"/>
                <w:sz w:val="20"/>
                <w:szCs w:val="20"/>
                <w:highlight w:val="none"/>
                <w:vertAlign w:val="baseline"/>
                <w:lang w:val="en-US" w:eastAsia="zh-CN"/>
              </w:rPr>
            </w:pPr>
            <w:r>
              <w:rPr>
                <w:rFonts w:hint="eastAsia"/>
                <w:b w:val="0"/>
                <w:bCs w:val="0"/>
                <w:color w:val="auto"/>
                <w:sz w:val="20"/>
                <w:szCs w:val="20"/>
                <w:highlight w:val="none"/>
                <w:vertAlign w:val="baseline"/>
                <w:lang w:val="en-US" w:eastAsia="zh-CN"/>
              </w:rPr>
              <w:t>1600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lang w:val="en-US" w:eastAsia="zh-CN"/>
              </w:rPr>
              <w:t>53</w:t>
            </w:r>
          </w:p>
        </w:tc>
        <w:tc>
          <w:tcPr>
            <w:tcW w:w="1542" w:type="dxa"/>
            <w:vAlign w:val="top"/>
          </w:tcPr>
          <w:p>
            <w:pPr>
              <w:spacing w:line="360" w:lineRule="auto"/>
              <w:jc w:val="center"/>
              <w:rPr>
                <w:rFonts w:hint="eastAsia" w:eastAsia="宋体"/>
                <w:b w:val="0"/>
                <w:bCs w:val="0"/>
                <w:color w:val="auto"/>
                <w:sz w:val="20"/>
                <w:szCs w:val="20"/>
                <w:highlight w:val="none"/>
                <w:lang w:eastAsia="zh-CN"/>
              </w:rPr>
            </w:pPr>
            <w:r>
              <w:rPr>
                <w:rFonts w:hint="eastAsia"/>
                <w:b w:val="0"/>
                <w:bCs w:val="0"/>
                <w:color w:val="auto"/>
                <w:sz w:val="20"/>
                <w:szCs w:val="20"/>
                <w:highlight w:val="none"/>
                <w:lang w:eastAsia="zh-CN"/>
              </w:rPr>
              <w:t>上海三菱电梯</w:t>
            </w:r>
          </w:p>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ELENESS</w:t>
            </w:r>
          </w:p>
        </w:tc>
        <w:tc>
          <w:tcPr>
            <w:tcW w:w="1063"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lang w:val="en-US" w:eastAsia="zh-CN"/>
              </w:rPr>
              <w:t>1.0</w:t>
            </w:r>
          </w:p>
        </w:tc>
        <w:tc>
          <w:tcPr>
            <w:tcW w:w="1183"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lang w:val="en-US" w:eastAsia="zh-CN"/>
              </w:rPr>
              <w:t>2/2</w:t>
            </w:r>
          </w:p>
        </w:tc>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lang w:val="en-US" w:eastAsia="zh-CN"/>
              </w:rPr>
              <w:t>1</w:t>
            </w:r>
          </w:p>
        </w:tc>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lang w:val="en-US" w:eastAsia="zh-CN"/>
              </w:rPr>
              <w:t>12</w:t>
            </w:r>
          </w:p>
        </w:tc>
        <w:tc>
          <w:tcPr>
            <w:tcW w:w="1200" w:type="dxa"/>
          </w:tcPr>
          <w:p>
            <w:pPr>
              <w:spacing w:after="78" w:afterLines="25" w:line="300" w:lineRule="auto"/>
              <w:jc w:val="center"/>
              <w:rPr>
                <w:rFonts w:hint="default" w:eastAsia="宋体"/>
                <w:b w:val="0"/>
                <w:bCs w:val="0"/>
                <w:color w:val="auto"/>
                <w:sz w:val="20"/>
                <w:szCs w:val="20"/>
                <w:highlight w:val="none"/>
                <w:vertAlign w:val="baseline"/>
                <w:lang w:val="en-US" w:eastAsia="zh-CN"/>
              </w:rPr>
            </w:pPr>
            <w:r>
              <w:rPr>
                <w:rFonts w:hint="eastAsia"/>
                <w:b w:val="0"/>
                <w:bCs w:val="0"/>
                <w:color w:val="auto"/>
                <w:sz w:val="20"/>
                <w:szCs w:val="20"/>
                <w:highlight w:val="none"/>
                <w:vertAlign w:val="baseline"/>
                <w:lang w:val="en-US" w:eastAsia="zh-CN"/>
              </w:rPr>
              <w:t>1600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8" w:type="dxa"/>
            <w:vAlign w:val="top"/>
          </w:tcPr>
          <w:p>
            <w:pPr>
              <w:spacing w:line="360" w:lineRule="auto"/>
              <w:jc w:val="center"/>
              <w:rPr>
                <w:rFonts w:hint="default"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lang w:val="en-US" w:eastAsia="zh-CN"/>
              </w:rPr>
              <w:t>54</w:t>
            </w:r>
          </w:p>
        </w:tc>
        <w:tc>
          <w:tcPr>
            <w:tcW w:w="1542" w:type="dxa"/>
            <w:vAlign w:val="top"/>
          </w:tcPr>
          <w:p>
            <w:pPr>
              <w:spacing w:line="360" w:lineRule="auto"/>
              <w:jc w:val="center"/>
              <w:rPr>
                <w:rFonts w:hint="eastAsia" w:eastAsia="宋体"/>
                <w:b w:val="0"/>
                <w:bCs w:val="0"/>
                <w:color w:val="auto"/>
                <w:sz w:val="20"/>
                <w:szCs w:val="20"/>
                <w:highlight w:val="none"/>
                <w:lang w:eastAsia="zh-CN"/>
              </w:rPr>
            </w:pPr>
            <w:r>
              <w:rPr>
                <w:rFonts w:hint="eastAsia"/>
                <w:b w:val="0"/>
                <w:bCs w:val="0"/>
                <w:color w:val="auto"/>
                <w:sz w:val="20"/>
                <w:szCs w:val="20"/>
                <w:highlight w:val="none"/>
                <w:lang w:eastAsia="zh-CN"/>
              </w:rPr>
              <w:t>上海三菱电梯</w:t>
            </w:r>
          </w:p>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ELENESS</w:t>
            </w:r>
          </w:p>
        </w:tc>
        <w:tc>
          <w:tcPr>
            <w:tcW w:w="1063"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lang w:val="en-US" w:eastAsia="zh-CN"/>
              </w:rPr>
              <w:t>1.0</w:t>
            </w:r>
          </w:p>
        </w:tc>
        <w:tc>
          <w:tcPr>
            <w:tcW w:w="1183"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lang w:val="en-US" w:eastAsia="zh-CN"/>
              </w:rPr>
              <w:t>2/2</w:t>
            </w:r>
          </w:p>
        </w:tc>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lang w:val="en-US" w:eastAsia="zh-CN"/>
              </w:rPr>
              <w:t>1</w:t>
            </w:r>
          </w:p>
        </w:tc>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lang w:val="en-US" w:eastAsia="zh-CN"/>
              </w:rPr>
              <w:t>12</w:t>
            </w:r>
          </w:p>
        </w:tc>
        <w:tc>
          <w:tcPr>
            <w:tcW w:w="1200" w:type="dxa"/>
          </w:tcPr>
          <w:p>
            <w:pPr>
              <w:spacing w:after="78" w:afterLines="25" w:line="300" w:lineRule="auto"/>
              <w:jc w:val="center"/>
              <w:rPr>
                <w:rFonts w:hint="default" w:eastAsia="宋体"/>
                <w:b w:val="0"/>
                <w:bCs w:val="0"/>
                <w:color w:val="auto"/>
                <w:sz w:val="20"/>
                <w:szCs w:val="20"/>
                <w:highlight w:val="none"/>
                <w:vertAlign w:val="baseline"/>
                <w:lang w:val="en-US" w:eastAsia="zh-CN"/>
              </w:rPr>
            </w:pPr>
            <w:r>
              <w:rPr>
                <w:rFonts w:hint="eastAsia"/>
                <w:b w:val="0"/>
                <w:bCs w:val="0"/>
                <w:color w:val="auto"/>
                <w:sz w:val="20"/>
                <w:szCs w:val="20"/>
                <w:highlight w:val="none"/>
                <w:vertAlign w:val="baseline"/>
                <w:lang w:val="en-US" w:eastAsia="zh-CN"/>
              </w:rPr>
              <w:t>1050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lang w:val="en-US" w:eastAsia="zh-CN"/>
              </w:rPr>
              <w:t>55</w:t>
            </w:r>
          </w:p>
        </w:tc>
        <w:tc>
          <w:tcPr>
            <w:tcW w:w="1542" w:type="dxa"/>
            <w:vAlign w:val="top"/>
          </w:tcPr>
          <w:p>
            <w:pPr>
              <w:spacing w:line="360" w:lineRule="auto"/>
              <w:jc w:val="center"/>
              <w:rPr>
                <w:rFonts w:hint="eastAsia" w:eastAsia="宋体"/>
                <w:b w:val="0"/>
                <w:bCs w:val="0"/>
                <w:color w:val="auto"/>
                <w:sz w:val="20"/>
                <w:szCs w:val="20"/>
                <w:highlight w:val="none"/>
                <w:lang w:eastAsia="zh-CN"/>
              </w:rPr>
            </w:pPr>
            <w:r>
              <w:rPr>
                <w:rFonts w:hint="eastAsia"/>
                <w:b w:val="0"/>
                <w:bCs w:val="0"/>
                <w:color w:val="auto"/>
                <w:sz w:val="20"/>
                <w:szCs w:val="20"/>
                <w:highlight w:val="none"/>
                <w:lang w:eastAsia="zh-CN"/>
              </w:rPr>
              <w:t>上海三菱电梯</w:t>
            </w:r>
          </w:p>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rPr>
              <w:t>ELENESS</w:t>
            </w:r>
          </w:p>
        </w:tc>
        <w:tc>
          <w:tcPr>
            <w:tcW w:w="1063"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lang w:val="en-US" w:eastAsia="zh-CN"/>
              </w:rPr>
              <w:t>1.0</w:t>
            </w:r>
          </w:p>
        </w:tc>
        <w:tc>
          <w:tcPr>
            <w:tcW w:w="1183"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lang w:val="en-US" w:eastAsia="zh-CN"/>
              </w:rPr>
              <w:t>2/2</w:t>
            </w:r>
          </w:p>
        </w:tc>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lang w:val="en-US" w:eastAsia="zh-CN"/>
              </w:rPr>
              <w:t>1</w:t>
            </w:r>
          </w:p>
        </w:tc>
        <w:tc>
          <w:tcPr>
            <w:tcW w:w="1178" w:type="dxa"/>
            <w:vAlign w:val="top"/>
          </w:tcPr>
          <w:p>
            <w:pPr>
              <w:spacing w:line="360" w:lineRule="auto"/>
              <w:jc w:val="center"/>
              <w:rPr>
                <w:rFonts w:hint="eastAsia" w:ascii="Times New Roman" w:hAnsi="Times New Roman" w:eastAsia="宋体" w:cs="Times New Roman"/>
                <w:b w:val="0"/>
                <w:bCs w:val="0"/>
                <w:color w:val="auto"/>
                <w:kern w:val="2"/>
                <w:sz w:val="20"/>
                <w:szCs w:val="20"/>
                <w:highlight w:val="none"/>
                <w:lang w:val="en-US" w:eastAsia="zh-CN" w:bidi="ar-SA"/>
              </w:rPr>
            </w:pPr>
            <w:r>
              <w:rPr>
                <w:rFonts w:hint="eastAsia"/>
                <w:b w:val="0"/>
                <w:bCs w:val="0"/>
                <w:color w:val="auto"/>
                <w:sz w:val="20"/>
                <w:szCs w:val="20"/>
                <w:highlight w:val="none"/>
                <w:lang w:val="en-US" w:eastAsia="zh-CN"/>
              </w:rPr>
              <w:t>12</w:t>
            </w:r>
          </w:p>
        </w:tc>
        <w:tc>
          <w:tcPr>
            <w:tcW w:w="1200" w:type="dxa"/>
          </w:tcPr>
          <w:p>
            <w:pPr>
              <w:spacing w:after="78" w:afterLines="25" w:line="300" w:lineRule="auto"/>
              <w:jc w:val="center"/>
              <w:rPr>
                <w:rFonts w:hint="default" w:eastAsia="宋体"/>
                <w:b w:val="0"/>
                <w:bCs w:val="0"/>
                <w:color w:val="auto"/>
                <w:sz w:val="20"/>
                <w:szCs w:val="20"/>
                <w:highlight w:val="none"/>
                <w:vertAlign w:val="baseline"/>
                <w:lang w:val="en-US" w:eastAsia="zh-CN"/>
              </w:rPr>
            </w:pPr>
            <w:r>
              <w:rPr>
                <w:rFonts w:hint="eastAsia"/>
                <w:b w:val="0"/>
                <w:bCs w:val="0"/>
                <w:color w:val="auto"/>
                <w:sz w:val="20"/>
                <w:szCs w:val="20"/>
                <w:highlight w:val="none"/>
                <w:vertAlign w:val="baseline"/>
                <w:lang w:val="en-US" w:eastAsia="zh-CN"/>
              </w:rPr>
              <w:t>1350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8" w:type="dxa"/>
          </w:tcPr>
          <w:p>
            <w:pPr>
              <w:spacing w:after="78" w:afterLines="25" w:line="300" w:lineRule="auto"/>
              <w:jc w:val="center"/>
              <w:rPr>
                <w:rFonts w:hint="eastAsia" w:eastAsia="宋体"/>
                <w:b w:val="0"/>
                <w:bCs w:val="0"/>
                <w:color w:val="auto"/>
                <w:sz w:val="20"/>
                <w:szCs w:val="20"/>
                <w:highlight w:val="none"/>
                <w:vertAlign w:val="baseline"/>
                <w:lang w:eastAsia="zh-CN"/>
              </w:rPr>
            </w:pPr>
            <w:r>
              <w:rPr>
                <w:rFonts w:hint="eastAsia"/>
                <w:b w:val="0"/>
                <w:bCs w:val="0"/>
                <w:color w:val="auto"/>
                <w:sz w:val="20"/>
                <w:szCs w:val="20"/>
                <w:highlight w:val="none"/>
                <w:vertAlign w:val="baseline"/>
                <w:lang w:eastAsia="zh-CN"/>
              </w:rPr>
              <w:t>合计</w:t>
            </w:r>
          </w:p>
        </w:tc>
        <w:tc>
          <w:tcPr>
            <w:tcW w:w="1542" w:type="dxa"/>
          </w:tcPr>
          <w:p>
            <w:pPr>
              <w:spacing w:after="78" w:afterLines="25" w:line="300" w:lineRule="auto"/>
              <w:jc w:val="center"/>
              <w:rPr>
                <w:rFonts w:hint="eastAsia"/>
                <w:b w:val="0"/>
                <w:bCs w:val="0"/>
                <w:color w:val="auto"/>
                <w:sz w:val="20"/>
                <w:szCs w:val="20"/>
                <w:highlight w:val="none"/>
                <w:vertAlign w:val="baseline"/>
              </w:rPr>
            </w:pPr>
          </w:p>
        </w:tc>
        <w:tc>
          <w:tcPr>
            <w:tcW w:w="1063" w:type="dxa"/>
          </w:tcPr>
          <w:p>
            <w:pPr>
              <w:spacing w:after="78" w:afterLines="25" w:line="300" w:lineRule="auto"/>
              <w:jc w:val="center"/>
              <w:rPr>
                <w:rFonts w:hint="eastAsia"/>
                <w:b w:val="0"/>
                <w:bCs w:val="0"/>
                <w:color w:val="auto"/>
                <w:sz w:val="20"/>
                <w:szCs w:val="20"/>
                <w:highlight w:val="none"/>
                <w:vertAlign w:val="baseline"/>
              </w:rPr>
            </w:pPr>
          </w:p>
        </w:tc>
        <w:tc>
          <w:tcPr>
            <w:tcW w:w="1183" w:type="dxa"/>
          </w:tcPr>
          <w:p>
            <w:pPr>
              <w:spacing w:after="78" w:afterLines="25" w:line="300" w:lineRule="auto"/>
              <w:jc w:val="center"/>
              <w:rPr>
                <w:rFonts w:hint="eastAsia"/>
                <w:b w:val="0"/>
                <w:bCs w:val="0"/>
                <w:color w:val="auto"/>
                <w:sz w:val="20"/>
                <w:szCs w:val="20"/>
                <w:highlight w:val="none"/>
                <w:vertAlign w:val="baseline"/>
              </w:rPr>
            </w:pPr>
          </w:p>
        </w:tc>
        <w:tc>
          <w:tcPr>
            <w:tcW w:w="1178" w:type="dxa"/>
          </w:tcPr>
          <w:p>
            <w:pPr>
              <w:spacing w:after="78" w:afterLines="25" w:line="300" w:lineRule="auto"/>
              <w:jc w:val="center"/>
              <w:rPr>
                <w:rFonts w:hint="default" w:eastAsia="宋体"/>
                <w:b w:val="0"/>
                <w:bCs w:val="0"/>
                <w:color w:val="auto"/>
                <w:sz w:val="20"/>
                <w:szCs w:val="20"/>
                <w:highlight w:val="none"/>
                <w:vertAlign w:val="baseline"/>
                <w:lang w:val="en-US" w:eastAsia="zh-CN"/>
              </w:rPr>
            </w:pPr>
            <w:r>
              <w:rPr>
                <w:rFonts w:hint="eastAsia"/>
                <w:b w:val="0"/>
                <w:bCs w:val="0"/>
                <w:color w:val="auto"/>
                <w:sz w:val="20"/>
                <w:szCs w:val="20"/>
                <w:highlight w:val="none"/>
                <w:vertAlign w:val="baseline"/>
                <w:lang w:val="en-US" w:eastAsia="zh-CN"/>
              </w:rPr>
              <w:t>44</w:t>
            </w:r>
          </w:p>
        </w:tc>
        <w:tc>
          <w:tcPr>
            <w:tcW w:w="1178" w:type="dxa"/>
          </w:tcPr>
          <w:p>
            <w:pPr>
              <w:spacing w:after="78" w:afterLines="25" w:line="300" w:lineRule="auto"/>
              <w:jc w:val="center"/>
              <w:rPr>
                <w:rFonts w:hint="eastAsia"/>
                <w:b w:val="0"/>
                <w:bCs w:val="0"/>
                <w:color w:val="auto"/>
                <w:sz w:val="20"/>
                <w:szCs w:val="20"/>
                <w:highlight w:val="none"/>
                <w:vertAlign w:val="baseline"/>
              </w:rPr>
            </w:pPr>
          </w:p>
        </w:tc>
        <w:tc>
          <w:tcPr>
            <w:tcW w:w="1200" w:type="dxa"/>
          </w:tcPr>
          <w:p>
            <w:pPr>
              <w:spacing w:after="78" w:afterLines="25" w:line="300" w:lineRule="auto"/>
              <w:jc w:val="center"/>
              <w:rPr>
                <w:rFonts w:hint="eastAsia"/>
                <w:b w:val="0"/>
                <w:bCs w:val="0"/>
                <w:color w:val="auto"/>
                <w:sz w:val="20"/>
                <w:szCs w:val="20"/>
                <w:highlight w:val="none"/>
                <w:vertAlign w:val="baseline"/>
              </w:rPr>
            </w:pPr>
          </w:p>
        </w:tc>
      </w:tr>
    </w:tbl>
    <w:p>
      <w:pPr>
        <w:spacing w:after="78" w:afterLines="25" w:line="300" w:lineRule="auto"/>
        <w:rPr>
          <w:rFonts w:hint="eastAsia"/>
          <w:b w:val="0"/>
          <w:bCs w:val="0"/>
          <w:color w:val="auto"/>
          <w:sz w:val="24"/>
          <w:szCs w:val="24"/>
          <w:highlight w:val="none"/>
        </w:rPr>
      </w:pPr>
      <w:r>
        <w:rPr>
          <w:rFonts w:hint="eastAsia"/>
          <w:b w:val="0"/>
          <w:bCs w:val="0"/>
          <w:color w:val="auto"/>
          <w:sz w:val="24"/>
          <w:szCs w:val="24"/>
          <w:highlight w:val="none"/>
        </w:rPr>
        <w:t>表</w:t>
      </w:r>
      <w:r>
        <w:rPr>
          <w:rFonts w:hint="eastAsia"/>
          <w:b w:val="0"/>
          <w:bCs w:val="0"/>
          <w:color w:val="auto"/>
          <w:sz w:val="24"/>
          <w:szCs w:val="24"/>
          <w:highlight w:val="none"/>
          <w:lang w:eastAsia="zh-CN"/>
        </w:rPr>
        <w:t>二</w:t>
      </w:r>
      <w:r>
        <w:rPr>
          <w:rFonts w:hint="eastAsia"/>
          <w:b w:val="0"/>
          <w:bCs w:val="0"/>
          <w:color w:val="auto"/>
          <w:sz w:val="24"/>
          <w:szCs w:val="24"/>
          <w:highlight w:val="none"/>
        </w:rPr>
        <w:t>（</w:t>
      </w:r>
      <w:r>
        <w:rPr>
          <w:rFonts w:hint="eastAsia"/>
          <w:b w:val="0"/>
          <w:bCs w:val="0"/>
          <w:color w:val="auto"/>
          <w:sz w:val="24"/>
          <w:szCs w:val="24"/>
          <w:highlight w:val="none"/>
          <w:lang w:eastAsia="zh-CN"/>
        </w:rPr>
        <w:t>扶</w:t>
      </w:r>
      <w:r>
        <w:rPr>
          <w:b w:val="0"/>
          <w:bCs w:val="0"/>
          <w:color w:val="auto"/>
          <w:sz w:val="24"/>
          <w:szCs w:val="24"/>
          <w:highlight w:val="none"/>
        </w:rPr>
        <w:t>梯）</w:t>
      </w:r>
      <w:r>
        <w:rPr>
          <w:rFonts w:hint="eastAsia"/>
          <w:b w:val="0"/>
          <w:bCs w:val="0"/>
          <w:color w:val="auto"/>
          <w:sz w:val="24"/>
          <w:szCs w:val="24"/>
          <w:highlight w:val="none"/>
        </w:rPr>
        <w:t>：</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0"/>
        <w:gridCol w:w="1420"/>
        <w:gridCol w:w="1213"/>
        <w:gridCol w:w="1683"/>
        <w:gridCol w:w="1365"/>
        <w:gridCol w:w="14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vAlign w:val="center"/>
          </w:tcPr>
          <w:p>
            <w:pPr>
              <w:widowControl/>
              <w:jc w:val="center"/>
              <w:textAlignment w:val="center"/>
              <w:rPr>
                <w:rFonts w:hint="eastAsia" w:ascii="仿宋" w:hAnsi="仿宋" w:eastAsia="仿宋" w:cs="仿宋"/>
                <w:b w:val="0"/>
                <w:bCs/>
                <w:color w:val="auto"/>
                <w:kern w:val="2"/>
                <w:sz w:val="28"/>
                <w:szCs w:val="28"/>
                <w:highlight w:val="none"/>
                <w:lang w:val="en-US" w:eastAsia="zh-CN" w:bidi="ar-SA"/>
              </w:rPr>
            </w:pPr>
            <w:r>
              <w:rPr>
                <w:rFonts w:hint="eastAsia" w:ascii="仿宋" w:hAnsi="仿宋" w:eastAsia="仿宋" w:cs="仿宋"/>
                <w:b w:val="0"/>
                <w:bCs/>
                <w:color w:val="auto"/>
                <w:kern w:val="0"/>
                <w:sz w:val="28"/>
                <w:szCs w:val="28"/>
                <w:highlight w:val="none"/>
              </w:rPr>
              <w:t>梯</w:t>
            </w:r>
            <w:r>
              <w:rPr>
                <w:rFonts w:hint="eastAsia" w:ascii="仿宋" w:hAnsi="仿宋" w:eastAsia="仿宋" w:cs="仿宋"/>
                <w:b w:val="0"/>
                <w:bCs/>
                <w:color w:val="auto"/>
                <w:sz w:val="28"/>
                <w:szCs w:val="28"/>
                <w:highlight w:val="none"/>
              </w:rPr>
              <w:t xml:space="preserve"> 号</w:t>
            </w:r>
          </w:p>
        </w:tc>
        <w:tc>
          <w:tcPr>
            <w:tcW w:w="1420" w:type="dxa"/>
            <w:vAlign w:val="center"/>
          </w:tcPr>
          <w:p>
            <w:pPr>
              <w:widowControl/>
              <w:jc w:val="center"/>
              <w:textAlignment w:val="center"/>
              <w:rPr>
                <w:rFonts w:hint="eastAsia" w:ascii="仿宋" w:hAnsi="仿宋" w:eastAsia="仿宋" w:cs="仿宋"/>
                <w:b w:val="0"/>
                <w:bCs/>
                <w:color w:val="auto"/>
                <w:kern w:val="2"/>
                <w:sz w:val="28"/>
                <w:szCs w:val="28"/>
                <w:highlight w:val="none"/>
                <w:lang w:val="en-US" w:eastAsia="zh-CN" w:bidi="ar-SA"/>
              </w:rPr>
            </w:pPr>
            <w:r>
              <w:rPr>
                <w:rFonts w:hint="eastAsia" w:ascii="仿宋" w:hAnsi="仿宋" w:eastAsia="仿宋" w:cs="仿宋"/>
                <w:b w:val="0"/>
                <w:bCs/>
                <w:color w:val="auto"/>
                <w:kern w:val="0"/>
                <w:sz w:val="28"/>
                <w:szCs w:val="28"/>
                <w:highlight w:val="none"/>
              </w:rPr>
              <w:t>型</w:t>
            </w:r>
            <w:r>
              <w:rPr>
                <w:rFonts w:hint="eastAsia" w:ascii="仿宋" w:hAnsi="仿宋" w:eastAsia="仿宋" w:cs="仿宋"/>
                <w:b w:val="0"/>
                <w:bCs/>
                <w:color w:val="auto"/>
                <w:sz w:val="28"/>
                <w:szCs w:val="28"/>
                <w:highlight w:val="none"/>
              </w:rPr>
              <w:t xml:space="preserve">  号</w:t>
            </w:r>
          </w:p>
        </w:tc>
        <w:tc>
          <w:tcPr>
            <w:tcW w:w="1213" w:type="dxa"/>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仿宋" w:hAnsi="仿宋" w:eastAsia="仿宋" w:cs="仿宋"/>
                <w:b w:val="0"/>
                <w:bCs/>
                <w:color w:val="auto"/>
                <w:kern w:val="2"/>
                <w:sz w:val="28"/>
                <w:szCs w:val="28"/>
                <w:highlight w:val="none"/>
                <w:lang w:val="en-US" w:eastAsia="zh-CN" w:bidi="ar-SA"/>
              </w:rPr>
            </w:pPr>
            <w:r>
              <w:rPr>
                <w:rFonts w:hint="eastAsia" w:ascii="仿宋" w:hAnsi="仿宋" w:eastAsia="仿宋" w:cs="仿宋"/>
                <w:b w:val="0"/>
                <w:bCs w:val="0"/>
                <w:color w:val="auto"/>
                <w:sz w:val="28"/>
                <w:szCs w:val="28"/>
                <w:highlight w:val="none"/>
                <w:lang w:eastAsia="zh-CN"/>
              </w:rPr>
              <w:t>提升高度（m）</w:t>
            </w:r>
          </w:p>
        </w:tc>
        <w:tc>
          <w:tcPr>
            <w:tcW w:w="1683" w:type="dxa"/>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仿宋" w:hAnsi="仿宋" w:eastAsia="仿宋" w:cs="仿宋"/>
                <w:b w:val="0"/>
                <w:bCs/>
                <w:color w:val="auto"/>
                <w:kern w:val="2"/>
                <w:sz w:val="28"/>
                <w:szCs w:val="28"/>
                <w:highlight w:val="none"/>
                <w:lang w:val="en-US" w:eastAsia="zh-CN" w:bidi="ar-SA"/>
              </w:rPr>
            </w:pPr>
            <w:r>
              <w:rPr>
                <w:rFonts w:hint="eastAsia" w:ascii="仿宋" w:hAnsi="仿宋" w:eastAsia="仿宋" w:cs="仿宋"/>
                <w:b w:val="0"/>
                <w:bCs w:val="0"/>
                <w:color w:val="auto"/>
                <w:sz w:val="28"/>
                <w:szCs w:val="28"/>
                <w:highlight w:val="none"/>
                <w:lang w:eastAsia="zh-CN"/>
              </w:rPr>
              <w:t>扶手间名义宽度(mm)</w:t>
            </w:r>
          </w:p>
        </w:tc>
        <w:tc>
          <w:tcPr>
            <w:tcW w:w="1365" w:type="dxa"/>
            <w:vAlign w:val="center"/>
          </w:tcPr>
          <w:p>
            <w:pPr>
              <w:widowControl/>
              <w:jc w:val="center"/>
              <w:textAlignment w:val="center"/>
              <w:rPr>
                <w:rFonts w:hint="eastAsia" w:ascii="仿宋" w:hAnsi="仿宋" w:eastAsia="仿宋" w:cs="仿宋"/>
                <w:b w:val="0"/>
                <w:bCs/>
                <w:color w:val="auto"/>
                <w:kern w:val="2"/>
                <w:sz w:val="28"/>
                <w:szCs w:val="28"/>
                <w:highlight w:val="none"/>
                <w:lang w:val="en-US" w:eastAsia="zh-CN" w:bidi="ar-SA"/>
              </w:rPr>
            </w:pPr>
            <w:r>
              <w:rPr>
                <w:rFonts w:hint="eastAsia" w:ascii="仿宋" w:hAnsi="仿宋" w:eastAsia="仿宋" w:cs="仿宋"/>
                <w:b w:val="0"/>
                <w:bCs/>
                <w:color w:val="auto"/>
                <w:kern w:val="0"/>
                <w:sz w:val="28"/>
                <w:szCs w:val="28"/>
                <w:highlight w:val="none"/>
              </w:rPr>
              <w:t>数量(台)</w:t>
            </w:r>
          </w:p>
        </w:tc>
        <w:tc>
          <w:tcPr>
            <w:tcW w:w="1421" w:type="dxa"/>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仿宋" w:hAnsi="仿宋" w:eastAsia="仿宋" w:cs="仿宋"/>
                <w:b w:val="0"/>
                <w:bCs/>
                <w:color w:val="auto"/>
                <w:kern w:val="2"/>
                <w:sz w:val="28"/>
                <w:szCs w:val="28"/>
                <w:highlight w:val="none"/>
                <w:lang w:val="en-US" w:eastAsia="zh-CN" w:bidi="ar-SA"/>
              </w:rPr>
            </w:pPr>
            <w:r>
              <w:rPr>
                <w:rFonts w:hint="eastAsia" w:ascii="仿宋" w:hAnsi="仿宋" w:eastAsia="仿宋" w:cs="仿宋"/>
                <w:b w:val="0"/>
                <w:bCs w:val="0"/>
                <w:color w:val="auto"/>
                <w:sz w:val="28"/>
                <w:szCs w:val="28"/>
                <w:highlight w:val="none"/>
                <w:lang w:eastAsia="zh-CN"/>
              </w:rPr>
              <w:t>服务期(月)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vAlign w:val="top"/>
          </w:tcPr>
          <w:p>
            <w:pPr>
              <w:spacing w:line="360" w:lineRule="auto"/>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r>
              <w:rPr>
                <w:rFonts w:hint="eastAsia" w:asciiTheme="minorEastAsia" w:hAnsiTheme="minorEastAsia" w:eastAsiaTheme="minorEastAsia" w:cstheme="minorEastAsia"/>
                <w:b w:val="0"/>
                <w:bCs w:val="0"/>
                <w:color w:val="auto"/>
                <w:sz w:val="20"/>
                <w:szCs w:val="20"/>
                <w:highlight w:val="none"/>
              </w:rPr>
              <w:t>42,43</w:t>
            </w:r>
          </w:p>
        </w:tc>
        <w:tc>
          <w:tcPr>
            <w:tcW w:w="1420" w:type="dxa"/>
            <w:vAlign w:val="top"/>
          </w:tcPr>
          <w:p>
            <w:pPr>
              <w:spacing w:line="360" w:lineRule="auto"/>
              <w:jc w:val="center"/>
              <w:rPr>
                <w:rFonts w:hint="eastAsia" w:asciiTheme="minorEastAsia" w:hAnsiTheme="minorEastAsia" w:eastAsiaTheme="minorEastAsia" w:cstheme="minorEastAsia"/>
                <w:b w:val="0"/>
                <w:bCs w:val="0"/>
                <w:color w:val="auto"/>
                <w:sz w:val="20"/>
                <w:szCs w:val="20"/>
                <w:highlight w:val="none"/>
                <w:lang w:eastAsia="zh-CN"/>
              </w:rPr>
            </w:pPr>
            <w:r>
              <w:rPr>
                <w:rFonts w:hint="eastAsia" w:asciiTheme="minorEastAsia" w:hAnsiTheme="minorEastAsia" w:eastAsiaTheme="minorEastAsia" w:cstheme="minorEastAsia"/>
                <w:b w:val="0"/>
                <w:bCs w:val="0"/>
                <w:color w:val="auto"/>
                <w:sz w:val="20"/>
                <w:szCs w:val="20"/>
                <w:highlight w:val="none"/>
                <w:lang w:eastAsia="zh-CN"/>
              </w:rPr>
              <w:t>上海三菱电梯</w:t>
            </w:r>
          </w:p>
          <w:p>
            <w:pPr>
              <w:spacing w:line="360" w:lineRule="auto"/>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r>
              <w:rPr>
                <w:rFonts w:hint="eastAsia" w:asciiTheme="minorEastAsia" w:hAnsiTheme="minorEastAsia" w:eastAsiaTheme="minorEastAsia" w:cstheme="minorEastAsia"/>
                <w:b w:val="0"/>
                <w:bCs w:val="0"/>
                <w:color w:val="auto"/>
                <w:sz w:val="20"/>
                <w:szCs w:val="20"/>
                <w:highlight w:val="none"/>
              </w:rPr>
              <w:t>KS-LBF-II</w:t>
            </w:r>
          </w:p>
        </w:tc>
        <w:tc>
          <w:tcPr>
            <w:tcW w:w="1213" w:type="dxa"/>
            <w:vAlign w:val="center"/>
          </w:tcPr>
          <w:p>
            <w:pPr>
              <w:widowControl/>
              <w:jc w:val="center"/>
              <w:textAlignment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r>
              <w:rPr>
                <w:rFonts w:hint="eastAsia" w:asciiTheme="minorEastAsia" w:hAnsiTheme="minorEastAsia" w:eastAsiaTheme="minorEastAsia" w:cstheme="minorEastAsia"/>
                <w:b w:val="0"/>
                <w:bCs w:val="0"/>
                <w:color w:val="auto"/>
                <w:sz w:val="20"/>
                <w:szCs w:val="20"/>
                <w:highlight w:val="none"/>
              </w:rPr>
              <w:t>5.98</w:t>
            </w:r>
          </w:p>
        </w:tc>
        <w:tc>
          <w:tcPr>
            <w:tcW w:w="1683" w:type="dxa"/>
            <w:vAlign w:val="center"/>
          </w:tcPr>
          <w:p>
            <w:pPr>
              <w:widowControl/>
              <w:jc w:val="center"/>
              <w:textAlignment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r>
              <w:rPr>
                <w:rFonts w:hint="eastAsia" w:asciiTheme="minorEastAsia" w:hAnsiTheme="minorEastAsia" w:eastAsiaTheme="minorEastAsia" w:cstheme="minorEastAsia"/>
                <w:b w:val="0"/>
                <w:bCs w:val="0"/>
                <w:color w:val="auto"/>
                <w:sz w:val="20"/>
                <w:szCs w:val="20"/>
                <w:highlight w:val="none"/>
              </w:rPr>
              <w:t>1200</w:t>
            </w:r>
          </w:p>
        </w:tc>
        <w:tc>
          <w:tcPr>
            <w:tcW w:w="1365" w:type="dxa"/>
            <w:vAlign w:val="center"/>
          </w:tcPr>
          <w:p>
            <w:pPr>
              <w:widowControl/>
              <w:jc w:val="center"/>
              <w:textAlignment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r>
              <w:rPr>
                <w:rFonts w:hint="eastAsia" w:asciiTheme="minorEastAsia" w:hAnsiTheme="minorEastAsia" w:eastAsiaTheme="minorEastAsia" w:cstheme="minorEastAsia"/>
                <w:b w:val="0"/>
                <w:bCs w:val="0"/>
                <w:color w:val="auto"/>
                <w:sz w:val="20"/>
                <w:szCs w:val="20"/>
                <w:highlight w:val="none"/>
              </w:rPr>
              <w:t>2</w:t>
            </w:r>
          </w:p>
        </w:tc>
        <w:tc>
          <w:tcPr>
            <w:tcW w:w="1421" w:type="dxa"/>
            <w:vAlign w:val="center"/>
          </w:tcPr>
          <w:p>
            <w:pPr>
              <w:widowControl/>
              <w:jc w:val="center"/>
              <w:textAlignment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r>
              <w:rPr>
                <w:rFonts w:hint="eastAsia" w:asciiTheme="minorEastAsia" w:hAnsiTheme="minorEastAsia" w:eastAsiaTheme="minorEastAsia" w:cstheme="minorEastAsia"/>
                <w:b w:val="0"/>
                <w:bCs w:val="0"/>
                <w:color w:val="auto"/>
                <w:sz w:val="20"/>
                <w:szCs w:val="20"/>
                <w:highlight w:val="none"/>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vAlign w:val="top"/>
          </w:tcPr>
          <w:p>
            <w:pPr>
              <w:spacing w:line="360" w:lineRule="auto"/>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r>
              <w:rPr>
                <w:rFonts w:hint="eastAsia" w:asciiTheme="minorEastAsia" w:hAnsiTheme="minorEastAsia" w:eastAsiaTheme="minorEastAsia" w:cstheme="minorEastAsia"/>
                <w:b w:val="0"/>
                <w:bCs w:val="0"/>
                <w:color w:val="auto"/>
                <w:sz w:val="20"/>
                <w:szCs w:val="20"/>
                <w:highlight w:val="none"/>
              </w:rPr>
              <w:t>44、45</w:t>
            </w:r>
          </w:p>
        </w:tc>
        <w:tc>
          <w:tcPr>
            <w:tcW w:w="1420" w:type="dxa"/>
            <w:vAlign w:val="top"/>
          </w:tcPr>
          <w:p>
            <w:pPr>
              <w:spacing w:line="360" w:lineRule="auto"/>
              <w:jc w:val="center"/>
              <w:rPr>
                <w:rFonts w:hint="eastAsia" w:asciiTheme="minorEastAsia" w:hAnsiTheme="minorEastAsia" w:eastAsiaTheme="minorEastAsia" w:cstheme="minorEastAsia"/>
                <w:b w:val="0"/>
                <w:bCs w:val="0"/>
                <w:color w:val="auto"/>
                <w:sz w:val="20"/>
                <w:szCs w:val="20"/>
                <w:highlight w:val="none"/>
                <w:lang w:eastAsia="zh-CN"/>
              </w:rPr>
            </w:pPr>
            <w:r>
              <w:rPr>
                <w:rFonts w:hint="eastAsia" w:asciiTheme="minorEastAsia" w:hAnsiTheme="minorEastAsia" w:eastAsiaTheme="minorEastAsia" w:cstheme="minorEastAsia"/>
                <w:b w:val="0"/>
                <w:bCs w:val="0"/>
                <w:color w:val="auto"/>
                <w:sz w:val="20"/>
                <w:szCs w:val="20"/>
                <w:highlight w:val="none"/>
                <w:lang w:eastAsia="zh-CN"/>
              </w:rPr>
              <w:t>上海三菱电梯</w:t>
            </w:r>
          </w:p>
          <w:p>
            <w:pPr>
              <w:spacing w:line="360" w:lineRule="auto"/>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r>
              <w:rPr>
                <w:rFonts w:hint="eastAsia" w:asciiTheme="minorEastAsia" w:hAnsiTheme="minorEastAsia" w:eastAsiaTheme="minorEastAsia" w:cstheme="minorEastAsia"/>
                <w:b w:val="0"/>
                <w:bCs w:val="0"/>
                <w:color w:val="auto"/>
                <w:sz w:val="20"/>
                <w:szCs w:val="20"/>
                <w:highlight w:val="none"/>
              </w:rPr>
              <w:t>KS-LBF-II</w:t>
            </w:r>
          </w:p>
        </w:tc>
        <w:tc>
          <w:tcPr>
            <w:tcW w:w="1213" w:type="dxa"/>
            <w:vAlign w:val="center"/>
          </w:tcPr>
          <w:p>
            <w:pPr>
              <w:widowControl/>
              <w:jc w:val="center"/>
              <w:textAlignment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r>
              <w:rPr>
                <w:rFonts w:hint="eastAsia" w:asciiTheme="minorEastAsia" w:hAnsiTheme="minorEastAsia" w:eastAsiaTheme="minorEastAsia" w:cstheme="minorEastAsia"/>
                <w:b w:val="0"/>
                <w:bCs w:val="0"/>
                <w:color w:val="auto"/>
                <w:sz w:val="20"/>
                <w:szCs w:val="20"/>
                <w:highlight w:val="none"/>
              </w:rPr>
              <w:t>5.019</w:t>
            </w:r>
          </w:p>
        </w:tc>
        <w:tc>
          <w:tcPr>
            <w:tcW w:w="1683" w:type="dxa"/>
            <w:vAlign w:val="center"/>
          </w:tcPr>
          <w:p>
            <w:pPr>
              <w:widowControl/>
              <w:jc w:val="center"/>
              <w:textAlignment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r>
              <w:rPr>
                <w:rFonts w:hint="eastAsia" w:asciiTheme="minorEastAsia" w:hAnsiTheme="minorEastAsia" w:eastAsiaTheme="minorEastAsia" w:cstheme="minorEastAsia"/>
                <w:b w:val="0"/>
                <w:bCs w:val="0"/>
                <w:color w:val="auto"/>
                <w:sz w:val="20"/>
                <w:szCs w:val="20"/>
                <w:highlight w:val="none"/>
              </w:rPr>
              <w:t>1200</w:t>
            </w:r>
          </w:p>
        </w:tc>
        <w:tc>
          <w:tcPr>
            <w:tcW w:w="1365" w:type="dxa"/>
            <w:vAlign w:val="center"/>
          </w:tcPr>
          <w:p>
            <w:pPr>
              <w:widowControl/>
              <w:jc w:val="center"/>
              <w:textAlignment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r>
              <w:rPr>
                <w:rFonts w:hint="eastAsia" w:asciiTheme="minorEastAsia" w:hAnsiTheme="minorEastAsia" w:eastAsiaTheme="minorEastAsia" w:cstheme="minorEastAsia"/>
                <w:b w:val="0"/>
                <w:bCs w:val="0"/>
                <w:color w:val="auto"/>
                <w:sz w:val="20"/>
                <w:szCs w:val="20"/>
                <w:highlight w:val="none"/>
              </w:rPr>
              <w:t>2</w:t>
            </w:r>
          </w:p>
        </w:tc>
        <w:tc>
          <w:tcPr>
            <w:tcW w:w="1421" w:type="dxa"/>
            <w:vAlign w:val="center"/>
          </w:tcPr>
          <w:p>
            <w:pPr>
              <w:widowControl/>
              <w:jc w:val="center"/>
              <w:textAlignment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r>
              <w:rPr>
                <w:rFonts w:hint="eastAsia" w:asciiTheme="minorEastAsia" w:hAnsiTheme="minorEastAsia" w:eastAsiaTheme="minorEastAsia" w:cstheme="minorEastAsia"/>
                <w:b w:val="0"/>
                <w:bCs w:val="0"/>
                <w:color w:val="auto"/>
                <w:sz w:val="20"/>
                <w:szCs w:val="20"/>
                <w:highlight w:val="none"/>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vAlign w:val="top"/>
          </w:tcPr>
          <w:p>
            <w:pPr>
              <w:spacing w:line="360" w:lineRule="auto"/>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r>
              <w:rPr>
                <w:rFonts w:hint="eastAsia" w:asciiTheme="minorEastAsia" w:hAnsiTheme="minorEastAsia" w:eastAsiaTheme="minorEastAsia" w:cstheme="minorEastAsia"/>
                <w:b w:val="0"/>
                <w:bCs w:val="0"/>
                <w:color w:val="auto"/>
                <w:sz w:val="20"/>
                <w:szCs w:val="20"/>
                <w:highlight w:val="none"/>
              </w:rPr>
              <w:t>46、47</w:t>
            </w:r>
          </w:p>
        </w:tc>
        <w:tc>
          <w:tcPr>
            <w:tcW w:w="1420" w:type="dxa"/>
            <w:vAlign w:val="top"/>
          </w:tcPr>
          <w:p>
            <w:pPr>
              <w:spacing w:line="360" w:lineRule="auto"/>
              <w:jc w:val="center"/>
              <w:rPr>
                <w:rFonts w:hint="eastAsia" w:asciiTheme="minorEastAsia" w:hAnsiTheme="minorEastAsia" w:eastAsiaTheme="minorEastAsia" w:cstheme="minorEastAsia"/>
                <w:b w:val="0"/>
                <w:bCs w:val="0"/>
                <w:color w:val="auto"/>
                <w:sz w:val="20"/>
                <w:szCs w:val="20"/>
                <w:highlight w:val="none"/>
                <w:lang w:eastAsia="zh-CN"/>
              </w:rPr>
            </w:pPr>
            <w:r>
              <w:rPr>
                <w:rFonts w:hint="eastAsia" w:asciiTheme="minorEastAsia" w:hAnsiTheme="minorEastAsia" w:eastAsiaTheme="minorEastAsia" w:cstheme="minorEastAsia"/>
                <w:b w:val="0"/>
                <w:bCs w:val="0"/>
                <w:color w:val="auto"/>
                <w:sz w:val="20"/>
                <w:szCs w:val="20"/>
                <w:highlight w:val="none"/>
                <w:lang w:eastAsia="zh-CN"/>
              </w:rPr>
              <w:t>上海三菱电梯</w:t>
            </w:r>
          </w:p>
          <w:p>
            <w:pPr>
              <w:spacing w:line="360" w:lineRule="auto"/>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r>
              <w:rPr>
                <w:rFonts w:hint="eastAsia" w:asciiTheme="minorEastAsia" w:hAnsiTheme="minorEastAsia" w:eastAsiaTheme="minorEastAsia" w:cstheme="minorEastAsia"/>
                <w:b w:val="0"/>
                <w:bCs w:val="0"/>
                <w:color w:val="auto"/>
                <w:sz w:val="20"/>
                <w:szCs w:val="20"/>
                <w:highlight w:val="none"/>
              </w:rPr>
              <w:t>KS-LBF-II</w:t>
            </w:r>
          </w:p>
        </w:tc>
        <w:tc>
          <w:tcPr>
            <w:tcW w:w="1213" w:type="dxa"/>
            <w:vAlign w:val="center"/>
          </w:tcPr>
          <w:p>
            <w:pPr>
              <w:widowControl/>
              <w:jc w:val="center"/>
              <w:textAlignment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r>
              <w:rPr>
                <w:rFonts w:hint="eastAsia" w:asciiTheme="minorEastAsia" w:hAnsiTheme="minorEastAsia" w:eastAsiaTheme="minorEastAsia" w:cstheme="minorEastAsia"/>
                <w:b w:val="0"/>
                <w:bCs w:val="0"/>
                <w:color w:val="auto"/>
                <w:sz w:val="20"/>
                <w:szCs w:val="20"/>
                <w:highlight w:val="none"/>
              </w:rPr>
              <w:t>5.128</w:t>
            </w:r>
          </w:p>
        </w:tc>
        <w:tc>
          <w:tcPr>
            <w:tcW w:w="1683" w:type="dxa"/>
            <w:vAlign w:val="center"/>
          </w:tcPr>
          <w:p>
            <w:pPr>
              <w:widowControl/>
              <w:jc w:val="center"/>
              <w:textAlignment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r>
              <w:rPr>
                <w:rFonts w:hint="eastAsia" w:asciiTheme="minorEastAsia" w:hAnsiTheme="minorEastAsia" w:eastAsiaTheme="minorEastAsia" w:cstheme="minorEastAsia"/>
                <w:b w:val="0"/>
                <w:bCs w:val="0"/>
                <w:color w:val="auto"/>
                <w:sz w:val="20"/>
                <w:szCs w:val="20"/>
                <w:highlight w:val="none"/>
              </w:rPr>
              <w:t>1200</w:t>
            </w:r>
          </w:p>
        </w:tc>
        <w:tc>
          <w:tcPr>
            <w:tcW w:w="1365" w:type="dxa"/>
            <w:vAlign w:val="center"/>
          </w:tcPr>
          <w:p>
            <w:pPr>
              <w:widowControl/>
              <w:jc w:val="center"/>
              <w:textAlignment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r>
              <w:rPr>
                <w:rFonts w:hint="eastAsia" w:asciiTheme="minorEastAsia" w:hAnsiTheme="minorEastAsia" w:eastAsiaTheme="minorEastAsia" w:cstheme="minorEastAsia"/>
                <w:b w:val="0"/>
                <w:bCs w:val="0"/>
                <w:color w:val="auto"/>
                <w:sz w:val="20"/>
                <w:szCs w:val="20"/>
                <w:highlight w:val="none"/>
              </w:rPr>
              <w:t>2</w:t>
            </w:r>
          </w:p>
        </w:tc>
        <w:tc>
          <w:tcPr>
            <w:tcW w:w="1421" w:type="dxa"/>
            <w:vAlign w:val="center"/>
          </w:tcPr>
          <w:p>
            <w:pPr>
              <w:widowControl/>
              <w:jc w:val="center"/>
              <w:textAlignment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r>
              <w:rPr>
                <w:rFonts w:hint="eastAsia" w:asciiTheme="minorEastAsia" w:hAnsiTheme="minorEastAsia" w:eastAsiaTheme="minorEastAsia" w:cstheme="minorEastAsia"/>
                <w:b w:val="0"/>
                <w:bCs w:val="0"/>
                <w:color w:val="auto"/>
                <w:sz w:val="20"/>
                <w:szCs w:val="20"/>
                <w:highlight w:val="none"/>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vAlign w:val="top"/>
          </w:tcPr>
          <w:p>
            <w:pPr>
              <w:spacing w:line="360" w:lineRule="auto"/>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r>
              <w:rPr>
                <w:rFonts w:hint="eastAsia" w:asciiTheme="minorEastAsia" w:hAnsiTheme="minorEastAsia" w:eastAsiaTheme="minorEastAsia" w:cstheme="minorEastAsia"/>
                <w:b w:val="0"/>
                <w:bCs w:val="0"/>
                <w:color w:val="auto"/>
                <w:sz w:val="20"/>
                <w:szCs w:val="20"/>
                <w:highlight w:val="none"/>
              </w:rPr>
              <w:t>48、49</w:t>
            </w:r>
          </w:p>
        </w:tc>
        <w:tc>
          <w:tcPr>
            <w:tcW w:w="1420" w:type="dxa"/>
            <w:vAlign w:val="top"/>
          </w:tcPr>
          <w:p>
            <w:pPr>
              <w:spacing w:line="360" w:lineRule="auto"/>
              <w:jc w:val="center"/>
              <w:rPr>
                <w:rFonts w:hint="eastAsia" w:asciiTheme="minorEastAsia" w:hAnsiTheme="minorEastAsia" w:eastAsiaTheme="minorEastAsia" w:cstheme="minorEastAsia"/>
                <w:b w:val="0"/>
                <w:bCs w:val="0"/>
                <w:color w:val="auto"/>
                <w:sz w:val="20"/>
                <w:szCs w:val="20"/>
                <w:highlight w:val="none"/>
                <w:lang w:eastAsia="zh-CN"/>
              </w:rPr>
            </w:pPr>
            <w:r>
              <w:rPr>
                <w:rFonts w:hint="eastAsia" w:asciiTheme="minorEastAsia" w:hAnsiTheme="minorEastAsia" w:eastAsiaTheme="minorEastAsia" w:cstheme="minorEastAsia"/>
                <w:b w:val="0"/>
                <w:bCs w:val="0"/>
                <w:color w:val="auto"/>
                <w:sz w:val="20"/>
                <w:szCs w:val="20"/>
                <w:highlight w:val="none"/>
                <w:lang w:eastAsia="zh-CN"/>
              </w:rPr>
              <w:t>上海三菱电梯</w:t>
            </w:r>
          </w:p>
          <w:p>
            <w:pPr>
              <w:spacing w:line="360" w:lineRule="auto"/>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r>
              <w:rPr>
                <w:rFonts w:hint="eastAsia" w:asciiTheme="minorEastAsia" w:hAnsiTheme="minorEastAsia" w:eastAsiaTheme="minorEastAsia" w:cstheme="minorEastAsia"/>
                <w:b w:val="0"/>
                <w:bCs w:val="0"/>
                <w:color w:val="auto"/>
                <w:sz w:val="20"/>
                <w:szCs w:val="20"/>
                <w:highlight w:val="none"/>
              </w:rPr>
              <w:t>KS-LBF-II</w:t>
            </w:r>
          </w:p>
        </w:tc>
        <w:tc>
          <w:tcPr>
            <w:tcW w:w="1213" w:type="dxa"/>
            <w:vAlign w:val="center"/>
          </w:tcPr>
          <w:p>
            <w:pPr>
              <w:widowControl/>
              <w:jc w:val="center"/>
              <w:textAlignment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r>
              <w:rPr>
                <w:rFonts w:hint="eastAsia" w:asciiTheme="minorEastAsia" w:hAnsiTheme="minorEastAsia" w:eastAsiaTheme="minorEastAsia" w:cstheme="minorEastAsia"/>
                <w:b w:val="0"/>
                <w:bCs w:val="0"/>
                <w:color w:val="auto"/>
                <w:sz w:val="20"/>
                <w:szCs w:val="20"/>
                <w:highlight w:val="none"/>
              </w:rPr>
              <w:t>6.875</w:t>
            </w:r>
          </w:p>
        </w:tc>
        <w:tc>
          <w:tcPr>
            <w:tcW w:w="1683" w:type="dxa"/>
            <w:vAlign w:val="center"/>
          </w:tcPr>
          <w:p>
            <w:pPr>
              <w:widowControl/>
              <w:jc w:val="center"/>
              <w:textAlignment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r>
              <w:rPr>
                <w:rFonts w:hint="eastAsia" w:asciiTheme="minorEastAsia" w:hAnsiTheme="minorEastAsia" w:eastAsiaTheme="minorEastAsia" w:cstheme="minorEastAsia"/>
                <w:b w:val="0"/>
                <w:bCs w:val="0"/>
                <w:color w:val="auto"/>
                <w:sz w:val="20"/>
                <w:szCs w:val="20"/>
                <w:highlight w:val="none"/>
              </w:rPr>
              <w:t>1200</w:t>
            </w:r>
          </w:p>
        </w:tc>
        <w:tc>
          <w:tcPr>
            <w:tcW w:w="1365" w:type="dxa"/>
            <w:vAlign w:val="center"/>
          </w:tcPr>
          <w:p>
            <w:pPr>
              <w:widowControl/>
              <w:jc w:val="center"/>
              <w:textAlignment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r>
              <w:rPr>
                <w:rFonts w:hint="eastAsia" w:asciiTheme="minorEastAsia" w:hAnsiTheme="minorEastAsia" w:eastAsiaTheme="minorEastAsia" w:cstheme="minorEastAsia"/>
                <w:b w:val="0"/>
                <w:bCs w:val="0"/>
                <w:color w:val="auto"/>
                <w:sz w:val="20"/>
                <w:szCs w:val="20"/>
                <w:highlight w:val="none"/>
              </w:rPr>
              <w:t>2</w:t>
            </w:r>
          </w:p>
        </w:tc>
        <w:tc>
          <w:tcPr>
            <w:tcW w:w="1421" w:type="dxa"/>
            <w:vAlign w:val="center"/>
          </w:tcPr>
          <w:p>
            <w:pPr>
              <w:widowControl/>
              <w:jc w:val="center"/>
              <w:textAlignment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r>
              <w:rPr>
                <w:rFonts w:hint="eastAsia" w:asciiTheme="minorEastAsia" w:hAnsiTheme="minorEastAsia" w:eastAsiaTheme="minorEastAsia" w:cstheme="minorEastAsia"/>
                <w:b w:val="0"/>
                <w:bCs w:val="0"/>
                <w:color w:val="auto"/>
                <w:sz w:val="20"/>
                <w:szCs w:val="20"/>
                <w:highlight w:val="none"/>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vAlign w:val="top"/>
          </w:tcPr>
          <w:p>
            <w:pPr>
              <w:spacing w:line="360" w:lineRule="auto"/>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r>
              <w:rPr>
                <w:rFonts w:hint="eastAsia" w:asciiTheme="minorEastAsia" w:hAnsiTheme="minorEastAsia" w:eastAsiaTheme="minorEastAsia" w:cstheme="minorEastAsia"/>
                <w:b w:val="0"/>
                <w:bCs w:val="0"/>
                <w:color w:val="auto"/>
                <w:sz w:val="20"/>
                <w:szCs w:val="20"/>
                <w:highlight w:val="none"/>
              </w:rPr>
              <w:t>50、51</w:t>
            </w:r>
          </w:p>
        </w:tc>
        <w:tc>
          <w:tcPr>
            <w:tcW w:w="1420" w:type="dxa"/>
            <w:vAlign w:val="top"/>
          </w:tcPr>
          <w:p>
            <w:pPr>
              <w:spacing w:line="360" w:lineRule="auto"/>
              <w:jc w:val="center"/>
              <w:rPr>
                <w:rFonts w:hint="eastAsia" w:asciiTheme="minorEastAsia" w:hAnsiTheme="minorEastAsia" w:eastAsiaTheme="minorEastAsia" w:cstheme="minorEastAsia"/>
                <w:b w:val="0"/>
                <w:bCs w:val="0"/>
                <w:color w:val="auto"/>
                <w:sz w:val="20"/>
                <w:szCs w:val="20"/>
                <w:highlight w:val="none"/>
                <w:lang w:eastAsia="zh-CN"/>
              </w:rPr>
            </w:pPr>
            <w:r>
              <w:rPr>
                <w:rFonts w:hint="eastAsia" w:asciiTheme="minorEastAsia" w:hAnsiTheme="minorEastAsia" w:eastAsiaTheme="minorEastAsia" w:cstheme="minorEastAsia"/>
                <w:b w:val="0"/>
                <w:bCs w:val="0"/>
                <w:color w:val="auto"/>
                <w:sz w:val="20"/>
                <w:szCs w:val="20"/>
                <w:highlight w:val="none"/>
                <w:lang w:eastAsia="zh-CN"/>
              </w:rPr>
              <w:t>上海三菱电梯</w:t>
            </w:r>
          </w:p>
          <w:p>
            <w:pPr>
              <w:spacing w:line="360" w:lineRule="auto"/>
              <w:jc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r>
              <w:rPr>
                <w:rFonts w:hint="eastAsia" w:asciiTheme="minorEastAsia" w:hAnsiTheme="minorEastAsia" w:eastAsiaTheme="minorEastAsia" w:cstheme="minorEastAsia"/>
                <w:b w:val="0"/>
                <w:bCs w:val="0"/>
                <w:color w:val="auto"/>
                <w:sz w:val="20"/>
                <w:szCs w:val="20"/>
                <w:highlight w:val="none"/>
              </w:rPr>
              <w:t>KS-LBF-II</w:t>
            </w:r>
          </w:p>
        </w:tc>
        <w:tc>
          <w:tcPr>
            <w:tcW w:w="1213" w:type="dxa"/>
            <w:vAlign w:val="center"/>
          </w:tcPr>
          <w:p>
            <w:pPr>
              <w:widowControl/>
              <w:jc w:val="center"/>
              <w:textAlignment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r>
              <w:rPr>
                <w:rFonts w:hint="eastAsia" w:asciiTheme="minorEastAsia" w:hAnsiTheme="minorEastAsia" w:eastAsiaTheme="minorEastAsia" w:cstheme="minorEastAsia"/>
                <w:b w:val="0"/>
                <w:bCs w:val="0"/>
                <w:color w:val="auto"/>
                <w:sz w:val="20"/>
                <w:szCs w:val="20"/>
                <w:highlight w:val="none"/>
              </w:rPr>
              <w:t>6.138</w:t>
            </w:r>
          </w:p>
        </w:tc>
        <w:tc>
          <w:tcPr>
            <w:tcW w:w="1683" w:type="dxa"/>
            <w:vAlign w:val="center"/>
          </w:tcPr>
          <w:p>
            <w:pPr>
              <w:widowControl/>
              <w:jc w:val="center"/>
              <w:textAlignment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r>
              <w:rPr>
                <w:rFonts w:hint="eastAsia" w:asciiTheme="minorEastAsia" w:hAnsiTheme="minorEastAsia" w:eastAsiaTheme="minorEastAsia" w:cstheme="minorEastAsia"/>
                <w:b w:val="0"/>
                <w:bCs w:val="0"/>
                <w:color w:val="auto"/>
                <w:sz w:val="20"/>
                <w:szCs w:val="20"/>
                <w:highlight w:val="none"/>
              </w:rPr>
              <w:t>1200</w:t>
            </w:r>
          </w:p>
        </w:tc>
        <w:tc>
          <w:tcPr>
            <w:tcW w:w="1365" w:type="dxa"/>
            <w:vAlign w:val="center"/>
          </w:tcPr>
          <w:p>
            <w:pPr>
              <w:widowControl/>
              <w:jc w:val="center"/>
              <w:textAlignment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r>
              <w:rPr>
                <w:rFonts w:hint="eastAsia" w:asciiTheme="minorEastAsia" w:hAnsiTheme="minorEastAsia" w:eastAsiaTheme="minorEastAsia" w:cstheme="minorEastAsia"/>
                <w:b w:val="0"/>
                <w:bCs w:val="0"/>
                <w:color w:val="auto"/>
                <w:sz w:val="20"/>
                <w:szCs w:val="20"/>
                <w:highlight w:val="none"/>
              </w:rPr>
              <w:t>2</w:t>
            </w:r>
          </w:p>
        </w:tc>
        <w:tc>
          <w:tcPr>
            <w:tcW w:w="1421" w:type="dxa"/>
            <w:vAlign w:val="center"/>
          </w:tcPr>
          <w:p>
            <w:pPr>
              <w:widowControl/>
              <w:jc w:val="center"/>
              <w:textAlignment w:val="center"/>
              <w:rPr>
                <w:rFonts w:hint="eastAsia" w:asciiTheme="minorEastAsia" w:hAnsiTheme="minorEastAsia" w:eastAsiaTheme="minorEastAsia" w:cstheme="minorEastAsia"/>
                <w:b w:val="0"/>
                <w:bCs w:val="0"/>
                <w:color w:val="auto"/>
                <w:kern w:val="2"/>
                <w:sz w:val="20"/>
                <w:szCs w:val="20"/>
                <w:highlight w:val="none"/>
                <w:lang w:val="en-US" w:eastAsia="zh-CN" w:bidi="ar-SA"/>
              </w:rPr>
            </w:pPr>
            <w:r>
              <w:rPr>
                <w:rFonts w:hint="eastAsia" w:asciiTheme="minorEastAsia" w:hAnsiTheme="minorEastAsia" w:eastAsiaTheme="minorEastAsia" w:cstheme="minorEastAsia"/>
                <w:b w:val="0"/>
                <w:bCs w:val="0"/>
                <w:color w:val="auto"/>
                <w:sz w:val="20"/>
                <w:szCs w:val="20"/>
                <w:highlight w:val="none"/>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Pr>
          <w:p>
            <w:pPr>
              <w:spacing w:after="78" w:afterLines="25" w:line="300" w:lineRule="auto"/>
              <w:jc w:val="center"/>
              <w:rPr>
                <w:rFonts w:hint="eastAsia" w:asciiTheme="minorEastAsia" w:hAnsiTheme="minorEastAsia" w:eastAsiaTheme="minorEastAsia" w:cstheme="minorEastAsia"/>
                <w:b w:val="0"/>
                <w:bCs w:val="0"/>
                <w:color w:val="auto"/>
                <w:sz w:val="20"/>
                <w:szCs w:val="20"/>
                <w:highlight w:val="none"/>
                <w:vertAlign w:val="baseline"/>
                <w:lang w:eastAsia="zh-CN"/>
              </w:rPr>
            </w:pPr>
            <w:r>
              <w:rPr>
                <w:rFonts w:hint="eastAsia" w:asciiTheme="minorEastAsia" w:hAnsiTheme="minorEastAsia" w:eastAsiaTheme="minorEastAsia" w:cstheme="minorEastAsia"/>
                <w:b w:val="0"/>
                <w:bCs w:val="0"/>
                <w:color w:val="auto"/>
                <w:sz w:val="20"/>
                <w:szCs w:val="20"/>
                <w:highlight w:val="none"/>
                <w:vertAlign w:val="baseline"/>
                <w:lang w:eastAsia="zh-CN"/>
              </w:rPr>
              <w:t>合计</w:t>
            </w:r>
          </w:p>
        </w:tc>
        <w:tc>
          <w:tcPr>
            <w:tcW w:w="1420" w:type="dxa"/>
          </w:tcPr>
          <w:p>
            <w:pPr>
              <w:spacing w:after="78" w:afterLines="25" w:line="300" w:lineRule="auto"/>
              <w:jc w:val="center"/>
              <w:rPr>
                <w:rFonts w:hint="eastAsia" w:asciiTheme="minorEastAsia" w:hAnsiTheme="minorEastAsia" w:eastAsiaTheme="minorEastAsia" w:cstheme="minorEastAsia"/>
                <w:b w:val="0"/>
                <w:bCs w:val="0"/>
                <w:color w:val="auto"/>
                <w:sz w:val="20"/>
                <w:szCs w:val="20"/>
                <w:highlight w:val="none"/>
                <w:vertAlign w:val="baseline"/>
              </w:rPr>
            </w:pPr>
          </w:p>
        </w:tc>
        <w:tc>
          <w:tcPr>
            <w:tcW w:w="1213" w:type="dxa"/>
          </w:tcPr>
          <w:p>
            <w:pPr>
              <w:spacing w:after="78" w:afterLines="25" w:line="300" w:lineRule="auto"/>
              <w:jc w:val="center"/>
              <w:rPr>
                <w:rFonts w:hint="eastAsia" w:asciiTheme="minorEastAsia" w:hAnsiTheme="minorEastAsia" w:eastAsiaTheme="minorEastAsia" w:cstheme="minorEastAsia"/>
                <w:b w:val="0"/>
                <w:bCs w:val="0"/>
                <w:color w:val="auto"/>
                <w:sz w:val="20"/>
                <w:szCs w:val="20"/>
                <w:highlight w:val="none"/>
                <w:vertAlign w:val="baseline"/>
              </w:rPr>
            </w:pPr>
          </w:p>
        </w:tc>
        <w:tc>
          <w:tcPr>
            <w:tcW w:w="1683" w:type="dxa"/>
          </w:tcPr>
          <w:p>
            <w:pPr>
              <w:spacing w:after="78" w:afterLines="25" w:line="300" w:lineRule="auto"/>
              <w:jc w:val="center"/>
              <w:rPr>
                <w:rFonts w:hint="eastAsia" w:asciiTheme="minorEastAsia" w:hAnsiTheme="minorEastAsia" w:eastAsiaTheme="minorEastAsia" w:cstheme="minorEastAsia"/>
                <w:b w:val="0"/>
                <w:bCs w:val="0"/>
                <w:color w:val="auto"/>
                <w:sz w:val="20"/>
                <w:szCs w:val="20"/>
                <w:highlight w:val="none"/>
                <w:vertAlign w:val="baseline"/>
              </w:rPr>
            </w:pPr>
          </w:p>
        </w:tc>
        <w:tc>
          <w:tcPr>
            <w:tcW w:w="1365" w:type="dxa"/>
          </w:tcPr>
          <w:p>
            <w:pPr>
              <w:spacing w:after="78" w:afterLines="25" w:line="300" w:lineRule="auto"/>
              <w:jc w:val="center"/>
              <w:rPr>
                <w:rFonts w:hint="eastAsia" w:asciiTheme="minorEastAsia" w:hAnsiTheme="minorEastAsia" w:eastAsiaTheme="minorEastAsia" w:cstheme="minorEastAsia"/>
                <w:b w:val="0"/>
                <w:bCs w:val="0"/>
                <w:color w:val="auto"/>
                <w:sz w:val="20"/>
                <w:szCs w:val="20"/>
                <w:highlight w:val="none"/>
                <w:vertAlign w:val="baseline"/>
                <w:lang w:val="en-US" w:eastAsia="zh-CN"/>
              </w:rPr>
            </w:pPr>
            <w:r>
              <w:rPr>
                <w:rFonts w:hint="eastAsia" w:asciiTheme="minorEastAsia" w:hAnsiTheme="minorEastAsia" w:eastAsiaTheme="minorEastAsia" w:cstheme="minorEastAsia"/>
                <w:b w:val="0"/>
                <w:bCs w:val="0"/>
                <w:color w:val="auto"/>
                <w:sz w:val="20"/>
                <w:szCs w:val="20"/>
                <w:highlight w:val="none"/>
                <w:vertAlign w:val="baseline"/>
                <w:lang w:val="en-US" w:eastAsia="zh-CN"/>
              </w:rPr>
              <w:t>10</w:t>
            </w:r>
          </w:p>
        </w:tc>
        <w:tc>
          <w:tcPr>
            <w:tcW w:w="1421" w:type="dxa"/>
          </w:tcPr>
          <w:p>
            <w:pPr>
              <w:spacing w:after="78" w:afterLines="25" w:line="300" w:lineRule="auto"/>
              <w:jc w:val="center"/>
              <w:rPr>
                <w:rFonts w:hint="eastAsia" w:asciiTheme="minorEastAsia" w:hAnsiTheme="minorEastAsia" w:eastAsiaTheme="minorEastAsia" w:cstheme="minorEastAsia"/>
                <w:b w:val="0"/>
                <w:bCs w:val="0"/>
                <w:color w:val="auto"/>
                <w:sz w:val="20"/>
                <w:szCs w:val="20"/>
                <w:highlight w:val="none"/>
                <w:vertAlign w:val="baseline"/>
              </w:rPr>
            </w:pPr>
          </w:p>
        </w:tc>
      </w:tr>
    </w:tbl>
    <w:p>
      <w:pPr>
        <w:spacing w:after="78" w:afterLines="25" w:line="300" w:lineRule="auto"/>
        <w:rPr>
          <w:rFonts w:hint="eastAsia"/>
          <w:b/>
          <w:bCs/>
          <w:color w:val="auto"/>
          <w:sz w:val="20"/>
          <w:szCs w:val="20"/>
          <w:highlight w:val="none"/>
        </w:rPr>
      </w:pPr>
    </w:p>
    <w:p>
      <w:pPr>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lang w:val="en-US" w:eastAsia="zh-CN"/>
        </w:rPr>
        <w:t>四</w:t>
      </w:r>
      <w:r>
        <w:rPr>
          <w:rFonts w:hint="eastAsia" w:ascii="宋体" w:hAnsi="宋体" w:eastAsia="宋体" w:cs="宋体"/>
          <w:bCs/>
          <w:color w:val="auto"/>
          <w:sz w:val="24"/>
          <w:szCs w:val="24"/>
          <w:highlight w:val="none"/>
        </w:rPr>
        <w:t xml:space="preserve">) </w:t>
      </w:r>
      <w:r>
        <w:rPr>
          <w:rFonts w:hint="eastAsia" w:ascii="宋体" w:hAnsi="宋体" w:eastAsia="宋体" w:cs="宋体"/>
          <w:color w:val="auto"/>
          <w:sz w:val="24"/>
          <w:szCs w:val="24"/>
          <w:highlight w:val="none"/>
        </w:rPr>
        <w:t xml:space="preserve">维修工作要求: </w:t>
      </w:r>
    </w:p>
    <w:p>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1.涉及更换配件时，必须有采购人指定的负责人员在场确认，在《电梯维修确认单》上签字，否则不计入工作量清单和故障维修结算额度；</w:t>
      </w:r>
    </w:p>
    <w:p>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2.维修更换完毕后，必须将更换下来的损坏件交到采购人指定地点入库保存，不得私自存放或是丢弃，否则不计入工作量清单和故障维修结算额度；</w:t>
      </w:r>
    </w:p>
    <w:p>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3.维修更换配件必须为原厂配件，不得使用其他品牌或是无品牌配件产品；</w:t>
      </w:r>
    </w:p>
    <w:p>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五</w:t>
      </w:r>
      <w:r>
        <w:rPr>
          <w:rFonts w:hint="eastAsia" w:ascii="宋体" w:hAnsi="宋体" w:eastAsia="宋体" w:cs="宋体"/>
          <w:color w:val="auto"/>
          <w:sz w:val="24"/>
          <w:szCs w:val="24"/>
          <w:highlight w:val="none"/>
        </w:rPr>
        <w:t>)定期维护保养要求</w:t>
      </w:r>
    </w:p>
    <w:p>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1.定期对每部电梯进行维护保养，每半月一次的维护保养内容及要求包括但不限于以下方面：</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 机房、滑轮间应清洁、门窗完好，照明正常，温度合适；</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 手动紧急操作装置齐全，安放在指定位置；</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 驱动主机运行时不得有杂音、冲击和振动；</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 直流电动机换向器工作正常；</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（5） 编码器清洁，安装牢固；</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（6） 选层器动静触点应清洁，无烧蚀；</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（7） 限速器各销轴部位转动灵活；</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（8） 制动器动作应可靠,作为轿厢意外移动保护装置制停子系统是符合要求；</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（9） 制动器各销轴部位应润滑，动作灵活；</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（10） 制动衬清洁，磨损量不超过制造单位要求；</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（11） 制动器打开时，闸瓦与制动轮不应发生摩擦；</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（12） 控制柜内各元器件应整洁，各仪表指示(显示)正确，各接线应紧固；</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（13） 紧急电动运行工作正常；</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（14） 层门和轿门旁路装置工作正常；</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（15） 轿厢照明应齐全,风扇工作应正常，应急照明应能正常工作；</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（16） 轿内报警装置、对讲系统工作正常；</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（17） 轿厢内按钮、开关应齐全有效，显示应正确，IC 卡系统完整有效；</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（18） 平层精度应达到标准要求，地坎应清洁无杂物；</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（19） 轿门运行开启和关闭工作正常；</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（20） 轿门门触点应清洁，接触良好，接线可靠；</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（21） 轿门防撞击保护（安全触板、光幕、光电等）功能有效；</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（22） 层门自闭功能正常，用厅门钥匙开锁释放后能自动复位；</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（23） 层站召唤、楼层显示齐全、有效；</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（24） 轿顶及轿厢检修开关、停止装置工作正常；</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（25） 轿顶清洁，防护栏安全可靠；</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（26） 层门门锁触点应清洁，接触良好，接线可靠；</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（27） 层门锁紧元件啮合长度不小于 7mm；</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（28） 对重/平衡重块无松动，压板紧固；</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（29） 导靴油杯吸油毛毡齐全，油量适宜，保证油质，油杯无泄露；</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（30） 底坑清洁、无渗水、无积水、井道及地坑照明应齐全、正常；</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（31） 底坑急停装置，附加操作装置工作正常。</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 每月一次维护保养工作内容及要求：</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供应商必须定期对每部电梯进行维护保养，每月一次的维护保养内容及要求包括但不限于以下方面：</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 机房、滑轮间应清洁、门窗完好，照明正常，温度合适；</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 驱动主机在运行时应平稳，无振动；</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 直流电动机换向器工作正常；</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 编码器（测速发电机）工作正常，安装牢固；</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（5） 电动机与曳引机连轴器螺栓无松动；</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（6） 减速箱内油量适宜，除蜗杆伸出端外均无渗漏，箱体内油温不应高于 85°；</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（7） 制动器动作应可靠,作为轿厢意外移动保护装置制停止系统是符合要求；</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（8） 制动器各销轴部位应润滑灵活；</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（9） 制动衬清洁，磨损量不超过制造单位要求；</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（10） 制动器打开时，闸瓦与制动轮不应发生摩擦；</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（11） 限速器销轴部位润滑转动灵活；</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（12） 限速器轮槽、限速绳清洁无油腻；</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（13） 限速器夹绳钳口无磨损，应有足夹持力；</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（14） 控制柜内各元器件应整洁，各仪表指示(显示)正确，各接线应紧固；</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（15） 选层器动静触点应清洁，无烧蚀；</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（16） 紧急电动运行工作正常；</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（17） 轿内报警装置、对讲系统工作正常；</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（18） 轿厢照明应齐全,风扇工作应正常；</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（19） 轿厢内应急照明应能正常工作；</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（20） 轿厢内按钮应齐全有效；</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（21） 轿厢检修开关、停止装置工作正常；</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（22） 轿厢内显示应正常；</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（23） 侯梯厅按钮应齐全有效；</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（24） 侯梯厅应显示齐全正确；</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（25） 平层精度应达到标准要求，层门、地坎清洁；</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（26） 层、轿门润滑；</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（27） 层、轿门各固定部位无松动，间隙尺寸无变化；</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（28） 轿门开关终端位置开关工作正常，验证轿门关闭的电气安全装置工作正常；</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（29） 轿门运行开启和关闭工作正常；</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（30） 轿门防撞击保护（安全触板、光幕、光电等）功能有效；</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（31） 层门自闭功能正常，用厅门钥匙开锁释放后能自动复位；</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（32） 轿顶检修开关、停止装置工作正常；</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（33） 井道照明应齐全，正常；</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（34） 轿顶清洁，防护栏安全可靠；</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（35） 轿门门触点应清洁，接触良好，接线可靠；</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（36） 层门锁紧元件啮合长度不小于 7mm；</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（37） 层门门锁触点应清洁，接触良好，接线可靠；</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（38） 导靴油杯吸油毛毡齐全，油量适宜，保证油质；</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（39） 对重/平衡重块无松动，压板紧固；</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（40） 安全钳传动机构应灵活；</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（41） 安全钳座固定无松动；</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（42） 安全钳楔块与导轨间隙均匀，动作一致；</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（43） 缓冲器固定无松动；</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（44） 耗能缓冲器内油量适宜，栓塞无锈蚀；</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（45） 轿厢称量装置有效、准确。</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 每季度一次维护保养工作内容及要求：</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供应商应定期对每部电梯进行维护保养，每季度一次的维护保养内容及要求包括但不限于以下方面：</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 机房、滑轮间应清洁、门窗完好，照明正常，温度合适；</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 手动紧急操作装置齐全，安放在指定位置；</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 驱动主机运行时不得有杂音、冲击和振动；</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 直流电动机换向器工作正常；</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（5） 编码器（测速发电机）工作正常，安装牢固；</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（6） 电动机与曳引机连轴器螺栓无松动，弹性元件外观良好，无老化等现象；</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（7） 减速箱内油量适宜，除蜗杆伸出端外均无渗漏，箱体内油温不应高于85°；</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（8） 制动器动作应可靠,作为轿厢意外移动保护装置制停子系统是符合要求；</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（9） 制动器各销轴部位应润滑，动作灵活；</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（10） 制动衬清洁，磨损量不超过制造单位要求；</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（11） 制动器打开时，闸瓦与制动轮不应发生摩擦；</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（12） 限速器销轴部位润滑转动灵活；</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（13） 限速器轮槽、限速绳清洁无油腻；</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（14） 限速器夹绳钳口无磨损，应有足夹持力；</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（15） 曳引轮槽、悬挂装置应清洁、曳引绳无严重油腻，张力均匀，符合制造单位要求；</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（16） 控制柜内各元器件应整洁，各仪表指示(显示)正确，各接线应紧固；</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（17） 控制柜接线整齐，线号齐全清晰；</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（18） 位置脉冲发生器工作正常；</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（19） 选层器动静触点应清洁，无烧蚀；</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（20） 轿内报警装置、对讲系统工作正常；</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（21） 轿厢照明应齐全,风扇、应急照明工作应正常；</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（22） 轿顶及轿厢检修开关、停止装置工作正常；</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（23） 轿厢内按钮、开关应齐全有效，显示应正确，IC 卡系统完整有效；</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（24） 侯梯厅按钮应齐全有效，显示应齐全正确；</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（25） 厅外消防开关正常，功能有效；</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（26） 平层精度应达到标准要求，层门地坎清洁；</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（27） 层轿门门头、地坎无松动、变形，层门导靴磨损不超过要求；</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（28） 层轿门系统润滑，传动钢丝绳、链条、传动带按要求调整；</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（29） 层轿门各固定位置无松动，间隙尺寸无变化；</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（30） 轿门开关门终端位置开关工作正常，验证轿门关闭的电气安全装置工作正常；</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（31） 轿门门触点应清洁，接触良好，接线可靠；</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（32） 轿门运行开启和关闭工作正常；</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（33） 自动门防夹保护装置功能正常；</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（34） 层门自闭功能正常，用厅门钥匙开锁释放后能自动复位；</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（35） 层门门锁触点应清洁，接触良好，接线可靠；</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（36） 层门锁紧元件啮合长度不小于 7mm；</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（37） 轿顶应清洁、检修功能正常；</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（38） 导靴油杯吸油毛毡齐全，油量适宜，保证油质，油杯无泄露；</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（39） 靴衬、滚轮清洁、无变形、脱落，磨损量不超过制造单位要求；</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（40） 对重/平衡重块无松动，压板紧固；</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（41） 曳引绳绳头组合螺母无松动；</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（42） 补偿链（绳）与轿厢、对重连接处固定无松动；</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（43） 安全钳传动机构应灵活；</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（44） 安全钳座固定无松动；</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（45） 安全钳楔块与导轨间隙均匀，动作一致；</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（46） 限速器张紧装置和电气安全装置工作正常；</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（47） 缓冲器固定无松动；</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（48） 耗能缓冲器内油量适宜，栓塞无锈蚀电气安全装置功能有效；</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（49） 轿厢称重装置有效、准确；</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（50） 上下极限开关、限位开关、强迫换速开关应工作正常有效。</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 每半年一次维护保养工作内容及要求：</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供应商应定期对每部电梯进行维护保养，每半年一次的维护保养内容及要求包括但不限于以下方面：</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 机房、滑轮间应清洁、门窗完好，照明正常，温度合适；</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 机房照明设备齐全有足够照度；</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 驱动主机在运行时应平稳，无振动；</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 直流电机换向器工作正常；</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（5） 直流电机碳刷及刷架工作正常；</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（6） 编码器（测速发电机）工作正常，安装牢固；</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（7） 电动机与曳引机连轴器螺栓无松动，弹性元件外观良好，无老化等现象；</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（8） 曳引轮槽、悬挂装置应清洁、曳引绳无严重油腻，张力均匀，符合制造单位要求；</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（9） 驱动主机、导向轮轴承无异常；</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（10） 上行超速保护装置的接触器触点应清洁，无烧蚀；</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（11） 上行超速保护装置的机械装置应动作灵活，可靠；</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（12） 减速箱内油量适宜，除蜗杆伸出端外均无渗漏，箱体内油温不应高于85℃；</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（13） 制动器动作应可靠,作为轿厢意外移动保护装置制停系统时符合要求；</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（14） 制动器各销轴部位应润滑，动作灵活；</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（15） 制动衬清洁，磨损量不超过制造单位要求；</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（16） 制动器打开时，闸瓦与制动轮不应发生摩擦；</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（17） 限速器销轴部位润滑转动灵活；</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（18） 限速器轮槽清洁无油腻；</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（19） 限速绳清洁无油腻；</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（20） 限速器夹绳钳口无磨损，应有足夹持力；</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（21） 控制柜内各种元器件应整洁；</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（22） 控制柜内各种元器件应整洁，各仪表指示（显示）正确，各接线应紧固；</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（23） 控制柜接线整齐，线号齐全清晰；</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（24） 位置脉冲发生器工作正常；</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（25） 选层器动静触点应清洁，无烧蚀；</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（26） 轿内报警装置、对讲系统工作正常；</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（27） 轿厢照明应齐全,风扇工作应正常；</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（28） 轿厢内应急照明应能正常工作；</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（29） 轿厢内按钮应齐全有效；</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（30） 轿厢检修开关、停止装置工作正常；</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（31） 轿厢内显示应正确；</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（32） 侯梯厅按钮应齐全有效；</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（33） 侯梯厅显示应齐全正确；</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（34） 厅外消防开关正常、有效；</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（35） 平层精度应达到标准要求，层门地坎清洁；</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（36） 层门、轿门门扇各相关间隙符合标准值；</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（37） 层轿门、开门机构清洁，润滑良好；</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（38） 层轿门门头、地坎及各固定部位无松动，间隙尺寸无变化；</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（39） 轿门开关门终端位置开关工作正常，验证轿门关闭的电气安全装置工作正常；</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（40） 轿门门锁触点应清洁，接触良好，接线可靠；</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（41） 轿门开门限制装置工作正常；</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（42） 直流门机碳刷及换向器工作正常；</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（43） 轿门运行开启和关闭工作正常；</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（44） 轿门防撞击保护装置（安全触板、光幕、光电等）功能有效；</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（45） 层门自闭功能正常，用厅门钥匙开锁释放后能自动复位；</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（46） 层门门锁触点应清洁，接触良好，接线可靠；</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（47） 层门锁紧元件啮合长度不小于 7mm；</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（48） 轿顶应清洁，检修功能正常；</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（49） 导靴油杯吸油毛毡齐全，油量适宜，保证油质；</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（50） 靴衬、滚轮清洁、无变形、脱落，磨损量不超过制造单位要求；</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（51） 曳引绳磨损、断丝未超标；</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（52） 限速绳磨损未超标，无断丝；</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（53） 补偿绳磨损、断丝未超标；</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（54） 限速器磨损、断丝未超标，无油腻；</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（55） 曳引绳张力均匀；</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（56） 曳引绳绳头组合螺母无松动；</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（57） 补偿链（绳）与轿厢、对重连接处固定无松动；</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（58） 轿厢和对重/平衡重的导轨支架固定无松动；</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（59） 安全钳传动机构应灵活；</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（60） 安全钳座固定无松动；</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（61） 安全钳楔块与导轨间隙均匀，动作一致；</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（62） 轿底各安装螺栓紧固；</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（63） 以检修速度下行，安全钳功能试验；</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（64） 缓冲器固定无松动；</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（65） 耗能缓冲器内油量适宜，柱塞无锈蚀；</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（66） 对重/平衡重块无松动，压板紧固；</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（67） 对重缓冲器距离；</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（68） 轿厢称量装置有效、准确；</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（69） 上下极限开关、限位开关、强迫换速开关应工作正常有效；</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（70） 井道、底坑照明齐全。</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5. 每年一次维护保养工作内容及要求：</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供应商应定期对每部电梯进行维护保养，每年一次的维护保养内容及要求包括但不限于以下方面：</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 电梯全面清洁；</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 机房照明设备齐全，有足够照度；</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 驱动主机在运行时应平稳，无振动，不得有杂音、冲击和振动；</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 直流电机换向器工作正常；</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（5） 直流电机碳刷及刷架工作正常；</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（6） 编码器（测速发电机）工作正常，安装牢固；</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（7） 电动机与曳引机连轴器螺栓无松动，弹性元件外观良好，无老化等现象；</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（8） 曳引轮轮槽无变形,磨损量不超过制造单位要求；</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（9） 曳引轮槽、悬挂装置应清洁、曳引绳无严重油腻，张力均匀，符合制造单</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位要求；</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（10） 导向轮轴承、驱动主机轴承无异常；</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（11） 上行超速保护装置的接触器触点应清洁、无烧蚀，机械装置应动作灵活、</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可靠；</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（12） 上行超速保护装置的机械装置应动作试验工作正常；</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（13） 更换减速箱内齿轮油（按使用维护说明书）；</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（14） 减速箱内油量适宜，除蜗杆伸出端外均无渗漏，箱体内油温不宜高于85℃ ；</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（15） 制动器铁芯清理、润滑、检查，磨损量不超过制造单位要求；</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（16） 制动器动作为轿厢外移动作保护装置制停子系统时符合要求；</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（17） 制动器动作应可靠，必要时做制动器制动能力实验制动器制动能力符合制造单位要求，保持有足够的制动力，必要时进行轿厢装载 125%额定载重量的制动试验；</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（18） 制动器各销轴部位应润滑灵活；</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（19） 制动衬清洁，磨损量不超过制造单位要求；</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（20） 制动器打开时,闸瓦与制动轮不应发生摩擦；</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（21） 限速器销轴部位润滑转动灵活；</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（22） 限速器轮槽、限速绳清洁无油腻；</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（23） 限速器夹绳钳口无磨损，应有足够夹持力；</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（24） 限速器安全钳联动实验工作正常（对于使用年限不超过 15 年的限速器，每 2 年进行一次限速器动作速度校验；对于使用年限超过 15 年的限速器，每年进行一次限速器动作速度校验）；</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（25） 控制柜内各元器件应整洁，各仪表指示(显示)正确，各接线应紧固；</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（26） 控制柜接线整齐，线号齐全清晰；</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（27） 控制柜接触器、继电器触点接触良好；</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（28） 导电回路绝缘性能测试；</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（29） 接地电阻性能测试；</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（30） 轿厢意外移动保护装置动作试验工作工作正常；</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（31） 位置脉冲发生器工作证常；</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（32） 选层器动静触点应清洁、无烧蚀；</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（33） 轿内报警装置、对讲系统工作正常；</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（34） 轿厢照明应齐全,风扇工作应正常；</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（35） 轿厢内按钮应齐全有效；</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（36） 轿厢检修开关、停止装置工作正常；</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（37） 轿厢内显示应正确；</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（38） 轿内应急照明应能正常工作；</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（39） 侯梯厅按钮应示齐全有效；</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（40） 侯梯厅应显示应齐全正确；</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（41） 厅外消防开关正常、有效；</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（42） 平层精度应达到标准要求，层门地坎清洁；</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（43） 层门润滑良好，层门、轿门门扇各相关间隙符合标准值；</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（44） 层轿门门头、地坎无松动、变形，层门导靴磨损不超过要求；</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（45） 轿门开关终端位置开关工作正常，验证轿门关闭的电气安全装置工作正常；</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（46） 轿门门锁触点应清洁，接触良好，接线可靠；</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（47） 开门机构清洁、润滑；</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（48） 直流门机碳刷及换向器工作正常；</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（49） 轿门运行开启和关闭工作正常；</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（50） 轿门防撞击保护（安全触板、光幕、光电等）功能有效；</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（51） 层门自闭功能正常，用厅门钥匙开锁释放后能自动复位；</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（52） 层门门锁触点应清洁，接触良好，接线可靠；</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（53） 层门锁紧元件啮合长度不小于 7mm；</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（54） 轿顶应清洁，检修开关、停止装置工作正常；</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（55） 导靴油杯吸油毛毡齐全，油量适宜，保证油质；</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（56） 靴衬、滚轮清洁、无变形、脱落，磨损量不超过制造单位要求；</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（57） 曳引绳磨损、断丝未超标，无油腻；</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（58） 限速绳磨损、断丝未超标，无油腻；</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（59） 补偿绳磨损、断丝未超标，无油腻；</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（60） 曳引绳张力均匀；</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（61） 曳引绳绳头组合螺母无松动；</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（62） 补偿链（绳）与轿厢、对重连接处固定无松动；</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（63） 随行电缆检查，应无损伤；</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（64） 上下限位、极限检查；</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（65） 对重/平衡重块无松动，压板紧固；</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（66） 安全钳传动机构应灵活；</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（67） 安全钳钳座固定无松动；</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（68） 轿底各安装螺栓紧固；</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（69） 安全钳楔块与导轨间隙均匀，动作一致；</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（70） 以检修速度下行，安全钳功能试验；</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（71） 缓冲器固定无松动；</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（72） 耗能缓冲器内油量适宜，柱塞无锈蚀；</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（73） 缓冲器复位性能试验；</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（74） 对重距缓冲器距离；</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（75） 轿厢称量装置有效、准确；</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（76） 上下极限开关、限位开关、强迫换速开关应工作正常有效；</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（77） 轿厢和对重/平衡重的导轨支架固定无松动；</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（78） 轿厢和对重/平衡重的导轨清洁；</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（79） 井道、底坑照明齐全；</w:t>
      </w:r>
    </w:p>
    <w:p>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（80） 消防联动、底坑照明齐全。</w:t>
      </w:r>
    </w:p>
    <w:p>
      <w:pPr>
        <w:rPr>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仿宋">
    <w:altName w:val="仿宋"/>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BlYTZjZjdmNzE2MWEzZWRkOTk3ZmVhM2Y2NTdmMTgifQ=="/>
  </w:docVars>
  <w:rsids>
    <w:rsidRoot w:val="00000000"/>
    <w:rsid w:val="08C94F2B"/>
    <w:rsid w:val="1829020E"/>
    <w:rsid w:val="2FC11C09"/>
    <w:rsid w:val="30DD752B"/>
    <w:rsid w:val="36BB3856"/>
    <w:rsid w:val="3CED228F"/>
    <w:rsid w:val="3D673DEF"/>
    <w:rsid w:val="40BE1BF9"/>
    <w:rsid w:val="426C3C56"/>
    <w:rsid w:val="44463F7E"/>
    <w:rsid w:val="485F6737"/>
    <w:rsid w:val="50E84DEF"/>
    <w:rsid w:val="518855B2"/>
    <w:rsid w:val="56624473"/>
    <w:rsid w:val="570A507F"/>
    <w:rsid w:val="5FD44EBD"/>
    <w:rsid w:val="602816AC"/>
    <w:rsid w:val="619012B7"/>
    <w:rsid w:val="62BF6114"/>
    <w:rsid w:val="64526CF8"/>
    <w:rsid w:val="69A077FF"/>
    <w:rsid w:val="704020FA"/>
    <w:rsid w:val="78624C65"/>
    <w:rsid w:val="7A0133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autoRedefine/>
    <w:semiHidden/>
    <w:unhideWhenUsed/>
    <w:qFormat/>
    <w:uiPriority w:val="0"/>
    <w:pPr>
      <w:spacing w:before="100" w:beforeAutospacing="1" w:after="100" w:afterAutospacing="1"/>
      <w:jc w:val="left"/>
      <w:outlineLvl w:val="1"/>
    </w:pPr>
    <w:rPr>
      <w:rFonts w:hint="eastAsia" w:ascii="宋体" w:hAnsi="宋体" w:eastAsia="华文仿宋" w:cs="宋体"/>
      <w:b/>
      <w:kern w:val="0"/>
      <w:sz w:val="28"/>
      <w:szCs w:val="36"/>
      <w:lang w:bidi="ar"/>
    </w:rPr>
  </w:style>
  <w:style w:type="paragraph" w:styleId="3">
    <w:name w:val="heading 3"/>
    <w:basedOn w:val="1"/>
    <w:next w:val="1"/>
    <w:link w:val="12"/>
    <w:autoRedefine/>
    <w:semiHidden/>
    <w:unhideWhenUsed/>
    <w:qFormat/>
    <w:uiPriority w:val="0"/>
    <w:pPr>
      <w:keepNext/>
      <w:keepLines/>
      <w:autoSpaceDE w:val="0"/>
      <w:autoSpaceDN w:val="0"/>
      <w:adjustRightInd w:val="0"/>
      <w:spacing w:before="360" w:after="120"/>
      <w:jc w:val="left"/>
      <w:outlineLvl w:val="2"/>
    </w:pPr>
    <w:rPr>
      <w:rFonts w:ascii="宋体" w:hAnsi="宋体" w:eastAsia="宋体"/>
      <w:b/>
      <w:kern w:val="0"/>
      <w:sz w:val="24"/>
      <w:szCs w:val="20"/>
      <w:u w:val="none"/>
    </w:rPr>
  </w:style>
  <w:style w:type="character" w:default="1" w:styleId="10">
    <w:name w:val="Default Paragraph Font"/>
    <w:autoRedefine/>
    <w:semiHidden/>
    <w:qFormat/>
    <w:uiPriority w:val="0"/>
  </w:style>
  <w:style w:type="table" w:default="1" w:styleId="8">
    <w:name w:val="Normal Table"/>
    <w:autoRedefine/>
    <w:semiHidden/>
    <w:qFormat/>
    <w:uiPriority w:val="0"/>
    <w:tblPr>
      <w:tblCellMar>
        <w:top w:w="0" w:type="dxa"/>
        <w:left w:w="108" w:type="dxa"/>
        <w:bottom w:w="0" w:type="dxa"/>
        <w:right w:w="108" w:type="dxa"/>
      </w:tblCellMar>
    </w:tblPr>
  </w:style>
  <w:style w:type="paragraph" w:styleId="4">
    <w:name w:val="Body Text"/>
    <w:basedOn w:val="1"/>
    <w:next w:val="1"/>
    <w:autoRedefine/>
    <w:qFormat/>
    <w:uiPriority w:val="0"/>
    <w:pPr>
      <w:tabs>
        <w:tab w:val="left" w:pos="567"/>
      </w:tabs>
      <w:spacing w:before="120" w:line="22" w:lineRule="atLeast"/>
    </w:pPr>
    <w:rPr>
      <w:rFonts w:ascii="宋体" w:hAnsi="宋体"/>
      <w:sz w:val="24"/>
    </w:rPr>
  </w:style>
  <w:style w:type="paragraph" w:styleId="5">
    <w:name w:val="header"/>
    <w:basedOn w:val="1"/>
    <w:autoRedefine/>
    <w:semiHidden/>
    <w:qFormat/>
    <w:uiPriority w:val="0"/>
    <w:pPr>
      <w:pBdr>
        <w:bottom w:val="single" w:color="auto" w:sz="6" w:space="1"/>
      </w:pBdr>
      <w:tabs>
        <w:tab w:val="center" w:pos="4153"/>
        <w:tab w:val="right" w:pos="8306"/>
      </w:tabs>
      <w:snapToGrid w:val="0"/>
      <w:jc w:val="center"/>
    </w:pPr>
    <w:rPr>
      <w:sz w:val="18"/>
      <w:szCs w:val="18"/>
    </w:rPr>
  </w:style>
  <w:style w:type="paragraph" w:styleId="6">
    <w:name w:val="toc 2"/>
    <w:basedOn w:val="1"/>
    <w:next w:val="1"/>
    <w:autoRedefine/>
    <w:qFormat/>
    <w:uiPriority w:val="0"/>
    <w:pPr>
      <w:ind w:left="420" w:leftChars="200"/>
    </w:pPr>
  </w:style>
  <w:style w:type="paragraph" w:styleId="7">
    <w:name w:val="Body Text 2"/>
    <w:basedOn w:val="1"/>
    <w:autoRedefine/>
    <w:qFormat/>
    <w:uiPriority w:val="0"/>
    <w:pPr>
      <w:spacing w:after="120" w:afterLines="0" w:afterAutospacing="0" w:line="480" w:lineRule="auto"/>
    </w:pPr>
  </w:style>
  <w:style w:type="table" w:styleId="9">
    <w:name w:val="Table Grid"/>
    <w:basedOn w:val="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Hyperlink"/>
    <w:autoRedefine/>
    <w:qFormat/>
    <w:uiPriority w:val="0"/>
    <w:rPr>
      <w:rFonts w:ascii="Times New Roman" w:hAnsi="Times New Roman" w:eastAsia="宋体"/>
      <w:color w:val="0000FF"/>
      <w:u w:val="single"/>
    </w:rPr>
  </w:style>
  <w:style w:type="character" w:customStyle="1" w:styleId="12">
    <w:name w:val="标题 3 字符2"/>
    <w:link w:val="3"/>
    <w:autoRedefine/>
    <w:qFormat/>
    <w:uiPriority w:val="9"/>
    <w:rPr>
      <w:rFonts w:ascii="宋体" w:hAnsi="宋体" w:eastAsia="宋体" w:cs="宋体"/>
      <w:b/>
      <w:bCs/>
      <w:sz w:val="22"/>
      <w:szCs w:val="32"/>
      <w:u w:val="none"/>
    </w:rPr>
  </w:style>
  <w:style w:type="character" w:customStyle="1" w:styleId="13">
    <w:name w:val="font01"/>
    <w:autoRedefine/>
    <w:qFormat/>
    <w:uiPriority w:val="0"/>
    <w:rPr>
      <w:rFonts w:hint="eastAsia" w:ascii="宋体" w:hAnsi="宋体" w:eastAsia="宋体" w:cs="宋体"/>
      <w:color w:val="000000"/>
      <w:sz w:val="28"/>
      <w:szCs w:val="28"/>
      <w:u w:val="none"/>
    </w:rPr>
  </w:style>
  <w:style w:type="character" w:customStyle="1" w:styleId="14">
    <w:name w:val="font11"/>
    <w:autoRedefine/>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2022-02-16T00:34:00Z</dcterms:created>
  <dc:creator>Win10</dc:creator>
  <cp:lastModifiedBy>Administrator</cp:lastModifiedBy>
  <dcterms:modified xsi:type="dcterms:W3CDTF">2024-01-16T02:09:10Z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79C27083D0B341C8A3A65D4C91BCDA55</vt:lpwstr>
  </property>
</Properties>
</file>